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A1" w:rsidRDefault="00DA2BA1" w:rsidP="0048360A">
      <w:pPr>
        <w:pStyle w:val="a3"/>
        <w:framePr w:wrap="auto" w:vAnchor="text" w:hAnchor="margin"/>
        <w:jc w:val="center"/>
        <w:rPr>
          <w:sz w:val="28"/>
          <w:szCs w:val="28"/>
        </w:rPr>
      </w:pPr>
      <w:bookmarkStart w:id="0" w:name="_GoBack"/>
      <w:bookmarkEnd w:id="0"/>
    </w:p>
    <w:p w:rsidR="001B1789" w:rsidRDefault="001B1789" w:rsidP="00961BAC">
      <w:pPr>
        <w:jc w:val="center"/>
        <w:rPr>
          <w:rFonts w:ascii="Times New Roman" w:hAnsi="Times New Roman"/>
          <w:sz w:val="28"/>
          <w:szCs w:val="28"/>
        </w:rPr>
      </w:pPr>
    </w:p>
    <w:p w:rsidR="001B1789" w:rsidRDefault="001B1789" w:rsidP="00961BAC">
      <w:pPr>
        <w:jc w:val="center"/>
        <w:rPr>
          <w:rFonts w:ascii="Times New Roman" w:hAnsi="Times New Roman"/>
          <w:sz w:val="28"/>
          <w:szCs w:val="28"/>
        </w:rPr>
      </w:pPr>
    </w:p>
    <w:p w:rsidR="00961BAC" w:rsidRPr="005D6BD6" w:rsidRDefault="00961BAC" w:rsidP="00961BAC">
      <w:pPr>
        <w:jc w:val="center"/>
        <w:rPr>
          <w:rFonts w:ascii="Times New Roman" w:hAnsi="Times New Roman"/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BE13162" wp14:editId="79304CFF">
            <wp:simplePos x="0" y="0"/>
            <wp:positionH relativeFrom="column">
              <wp:posOffset>2400300</wp:posOffset>
            </wp:positionH>
            <wp:positionV relativeFrom="paragraph">
              <wp:posOffset>-797560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61BAC" w:rsidRPr="005D6BD6" w:rsidRDefault="00961BAC" w:rsidP="00961BAC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961BAC" w:rsidRPr="005D6BD6" w:rsidRDefault="00961BAC" w:rsidP="00961BAC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961BAC" w:rsidRPr="005D6BD6" w:rsidRDefault="00961BAC" w:rsidP="00961BAC">
      <w:pPr>
        <w:pStyle w:val="a3"/>
        <w:jc w:val="center"/>
        <w:rPr>
          <w:sz w:val="28"/>
          <w:szCs w:val="28"/>
        </w:rPr>
      </w:pPr>
    </w:p>
    <w:p w:rsidR="00961BAC" w:rsidRPr="005D6BD6" w:rsidRDefault="00961BAC" w:rsidP="00961BAC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961BAC" w:rsidRPr="005D6BD6" w:rsidRDefault="00961BAC" w:rsidP="00961BAC">
      <w:pPr>
        <w:pStyle w:val="a3"/>
        <w:jc w:val="center"/>
        <w:rPr>
          <w:b/>
          <w:sz w:val="28"/>
          <w:szCs w:val="28"/>
        </w:rPr>
      </w:pPr>
    </w:p>
    <w:p w:rsidR="00961BAC" w:rsidRPr="005D6BD6" w:rsidRDefault="00961BAC" w:rsidP="00961BAC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961BAC" w:rsidRPr="005D6BD6" w:rsidRDefault="00961BAC" w:rsidP="00961BAC">
      <w:pPr>
        <w:pStyle w:val="a3"/>
        <w:jc w:val="center"/>
        <w:rPr>
          <w:sz w:val="28"/>
          <w:szCs w:val="28"/>
        </w:rPr>
      </w:pPr>
    </w:p>
    <w:p w:rsidR="00961BAC" w:rsidRPr="005D6BD6" w:rsidRDefault="001B1789" w:rsidP="00961BAC">
      <w:pPr>
        <w:pStyle w:val="a3"/>
        <w:rPr>
          <w:sz w:val="28"/>
          <w:szCs w:val="28"/>
        </w:rPr>
      </w:pPr>
      <w:r>
        <w:rPr>
          <w:sz w:val="28"/>
          <w:szCs w:val="28"/>
        </w:rPr>
        <w:t>от 30.09.2014</w:t>
      </w:r>
      <w:r w:rsidR="00961BAC" w:rsidRPr="005D6BD6">
        <w:rPr>
          <w:sz w:val="28"/>
          <w:szCs w:val="28"/>
        </w:rPr>
        <w:t xml:space="preserve">       </w:t>
      </w:r>
      <w:r w:rsidR="00961BAC" w:rsidRPr="005D6BD6">
        <w:rPr>
          <w:sz w:val="28"/>
          <w:szCs w:val="28"/>
        </w:rPr>
        <w:tab/>
      </w:r>
      <w:r w:rsidR="00961BAC" w:rsidRPr="005D6BD6">
        <w:rPr>
          <w:sz w:val="28"/>
          <w:szCs w:val="28"/>
        </w:rPr>
        <w:tab/>
      </w:r>
      <w:r w:rsidR="00961BAC" w:rsidRPr="005D6BD6">
        <w:rPr>
          <w:sz w:val="28"/>
          <w:szCs w:val="28"/>
        </w:rPr>
        <w:tab/>
        <w:t xml:space="preserve">                            </w:t>
      </w:r>
      <w:r w:rsidR="00961BAC">
        <w:rPr>
          <w:sz w:val="28"/>
          <w:szCs w:val="28"/>
        </w:rPr>
        <w:t xml:space="preserve">                        </w:t>
      </w:r>
      <w:r w:rsidR="005A2C93">
        <w:rPr>
          <w:sz w:val="28"/>
          <w:szCs w:val="28"/>
        </w:rPr>
        <w:t xml:space="preserve">                </w:t>
      </w:r>
      <w:r w:rsidR="00961BAC">
        <w:rPr>
          <w:sz w:val="28"/>
          <w:szCs w:val="28"/>
        </w:rPr>
        <w:t xml:space="preserve">№ </w:t>
      </w:r>
      <w:r w:rsidR="005A2C93">
        <w:rPr>
          <w:sz w:val="28"/>
          <w:szCs w:val="28"/>
        </w:rPr>
        <w:t>272</w:t>
      </w:r>
    </w:p>
    <w:p w:rsidR="00961BAC" w:rsidRPr="005D6BD6" w:rsidRDefault="00961BAC" w:rsidP="00961BAC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961BAC" w:rsidRPr="00961BAC" w:rsidRDefault="00961BAC" w:rsidP="00961BAC">
      <w:pPr>
        <w:pStyle w:val="a3"/>
        <w:jc w:val="both"/>
        <w:rPr>
          <w:sz w:val="28"/>
          <w:szCs w:val="28"/>
        </w:rPr>
      </w:pPr>
    </w:p>
    <w:p w:rsidR="001B1789" w:rsidRDefault="009C089E" w:rsidP="00961BAC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О внесении изменений в постановление </w:t>
      </w:r>
    </w:p>
    <w:p w:rsidR="001B1789" w:rsidRDefault="009C089E" w:rsidP="00961BAC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администрации</w:t>
      </w:r>
      <w:r w:rsidR="001B1789"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 xml:space="preserve">Ханты-Мансийского </w:t>
      </w:r>
    </w:p>
    <w:p w:rsidR="009C089E" w:rsidRPr="00961BAC" w:rsidRDefault="009C089E" w:rsidP="00961BAC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района</w:t>
      </w:r>
      <w:r w:rsidR="001B1789"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>от 30.09.2013 № 235</w:t>
      </w:r>
    </w:p>
    <w:p w:rsidR="008369F1" w:rsidRPr="00961BAC" w:rsidRDefault="009C089E" w:rsidP="00961BAC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«</w:t>
      </w:r>
      <w:r w:rsidR="008369F1" w:rsidRPr="00961BAC">
        <w:rPr>
          <w:sz w:val="28"/>
          <w:szCs w:val="28"/>
        </w:rPr>
        <w:t xml:space="preserve">Об утверждении </w:t>
      </w:r>
      <w:proofErr w:type="gramStart"/>
      <w:r w:rsidR="008369F1" w:rsidRPr="00961BAC">
        <w:rPr>
          <w:sz w:val="28"/>
          <w:szCs w:val="28"/>
        </w:rPr>
        <w:t>муниципальной</w:t>
      </w:r>
      <w:proofErr w:type="gramEnd"/>
    </w:p>
    <w:p w:rsidR="009C089E" w:rsidRPr="00961BAC" w:rsidRDefault="008369F1" w:rsidP="00961BAC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программы </w:t>
      </w:r>
      <w:r w:rsidR="000D6211" w:rsidRPr="00961BAC">
        <w:rPr>
          <w:sz w:val="28"/>
          <w:szCs w:val="28"/>
        </w:rPr>
        <w:t>«Ведение землеустройства</w:t>
      </w:r>
      <w:r w:rsidR="00DA2BA1" w:rsidRPr="00961BAC">
        <w:rPr>
          <w:sz w:val="28"/>
          <w:szCs w:val="28"/>
        </w:rPr>
        <w:t xml:space="preserve"> </w:t>
      </w:r>
    </w:p>
    <w:p w:rsidR="001B1789" w:rsidRDefault="000D6211" w:rsidP="00961BAC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и рационального использования</w:t>
      </w:r>
      <w:r w:rsidR="00DA2BA1" w:rsidRPr="00961BAC">
        <w:rPr>
          <w:sz w:val="28"/>
          <w:szCs w:val="28"/>
        </w:rPr>
        <w:t xml:space="preserve"> </w:t>
      </w:r>
    </w:p>
    <w:p w:rsidR="001B1789" w:rsidRDefault="008369F1" w:rsidP="00961BAC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земельных ресурсов </w:t>
      </w:r>
    </w:p>
    <w:p w:rsidR="00DA2BA1" w:rsidRPr="00961BAC" w:rsidRDefault="00DA2BA1" w:rsidP="00961BAC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Ханты</w:t>
      </w:r>
      <w:r w:rsidR="000D6211" w:rsidRPr="00961BAC">
        <w:rPr>
          <w:sz w:val="28"/>
          <w:szCs w:val="28"/>
        </w:rPr>
        <w:t>-</w:t>
      </w:r>
      <w:r w:rsidR="008369F1" w:rsidRPr="00961BAC">
        <w:rPr>
          <w:sz w:val="28"/>
          <w:szCs w:val="28"/>
        </w:rPr>
        <w:t xml:space="preserve">Мансийского района </w:t>
      </w:r>
    </w:p>
    <w:p w:rsidR="008369F1" w:rsidRPr="00961BAC" w:rsidRDefault="008369F1" w:rsidP="00961BAC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на 2014</w:t>
      </w:r>
      <w:r w:rsidR="00DA2BA1" w:rsidRPr="00961BAC">
        <w:rPr>
          <w:sz w:val="28"/>
          <w:szCs w:val="28"/>
        </w:rPr>
        <w:t xml:space="preserve"> – </w:t>
      </w:r>
      <w:r w:rsidRPr="00961BAC">
        <w:rPr>
          <w:sz w:val="28"/>
          <w:szCs w:val="28"/>
        </w:rPr>
        <w:t>2016 годы»</w:t>
      </w:r>
    </w:p>
    <w:p w:rsidR="00DA2BA1" w:rsidRPr="00961BAC" w:rsidRDefault="00DA2BA1" w:rsidP="00961BAC">
      <w:pPr>
        <w:pStyle w:val="a3"/>
        <w:jc w:val="both"/>
        <w:rPr>
          <w:sz w:val="28"/>
          <w:szCs w:val="28"/>
        </w:rPr>
      </w:pPr>
    </w:p>
    <w:p w:rsidR="006539AB" w:rsidRPr="00961BAC" w:rsidRDefault="006539AB" w:rsidP="00961BAC">
      <w:pPr>
        <w:pStyle w:val="a3"/>
        <w:jc w:val="both"/>
        <w:rPr>
          <w:sz w:val="28"/>
          <w:szCs w:val="28"/>
        </w:rPr>
      </w:pPr>
    </w:p>
    <w:p w:rsidR="006539AB" w:rsidRPr="00961BAC" w:rsidRDefault="001B1789" w:rsidP="00961B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250A" w:rsidRPr="00961BA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B250A" w:rsidRPr="00961BAC">
        <w:rPr>
          <w:sz w:val="28"/>
          <w:szCs w:val="28"/>
        </w:rPr>
        <w:t>В</w:t>
      </w:r>
      <w:r w:rsidR="00DD0A43" w:rsidRPr="00961BAC">
        <w:rPr>
          <w:sz w:val="28"/>
          <w:szCs w:val="28"/>
        </w:rPr>
        <w:t xml:space="preserve">нести в постановление администрации Ханты-Мансийского района от 30.09.2013 № 235 «Об утверждении муниципальной программы «Ведение землеустройства и рационального использования земельных ресурсов Ханты-Мансийского района на 2014 – 2016 годы» </w:t>
      </w:r>
      <w:r w:rsidR="003B250A" w:rsidRPr="00961BAC">
        <w:rPr>
          <w:sz w:val="28"/>
          <w:szCs w:val="28"/>
        </w:rPr>
        <w:t>следующие изменения</w:t>
      </w:r>
      <w:r w:rsidR="00DD0A43" w:rsidRPr="00961BAC">
        <w:rPr>
          <w:sz w:val="28"/>
          <w:szCs w:val="28"/>
        </w:rPr>
        <w:t>:</w:t>
      </w:r>
    </w:p>
    <w:p w:rsidR="00C24997" w:rsidRPr="00961BAC" w:rsidRDefault="001B1789" w:rsidP="00961B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7FFC" w:rsidRPr="00961BAC">
        <w:rPr>
          <w:sz w:val="28"/>
          <w:szCs w:val="28"/>
        </w:rPr>
        <w:t>1.1.</w:t>
      </w:r>
      <w:r w:rsidR="008369F1" w:rsidRPr="00961BAC">
        <w:rPr>
          <w:sz w:val="28"/>
          <w:szCs w:val="28"/>
        </w:rPr>
        <w:t xml:space="preserve"> </w:t>
      </w:r>
      <w:r w:rsidR="003B250A" w:rsidRPr="00961BAC">
        <w:rPr>
          <w:sz w:val="28"/>
          <w:szCs w:val="28"/>
        </w:rPr>
        <w:t xml:space="preserve">В заголовке и по тексту </w:t>
      </w:r>
      <w:r w:rsidR="00C10919" w:rsidRPr="00961BAC">
        <w:rPr>
          <w:sz w:val="28"/>
          <w:szCs w:val="28"/>
        </w:rPr>
        <w:t xml:space="preserve">постановления и приложения </w:t>
      </w:r>
      <w:r>
        <w:rPr>
          <w:sz w:val="28"/>
          <w:szCs w:val="28"/>
        </w:rPr>
        <w:t xml:space="preserve">                            к постановлению </w:t>
      </w:r>
      <w:r w:rsidR="003B250A" w:rsidRPr="00961BAC">
        <w:rPr>
          <w:sz w:val="28"/>
          <w:szCs w:val="28"/>
        </w:rPr>
        <w:t>слова «</w:t>
      </w:r>
      <w:r w:rsidR="008369F1" w:rsidRPr="00961BAC">
        <w:rPr>
          <w:sz w:val="28"/>
          <w:szCs w:val="28"/>
        </w:rPr>
        <w:t>2014</w:t>
      </w:r>
      <w:r w:rsidR="006539AB" w:rsidRPr="00961BAC">
        <w:rPr>
          <w:sz w:val="28"/>
          <w:szCs w:val="28"/>
        </w:rPr>
        <w:t xml:space="preserve"> – </w:t>
      </w:r>
      <w:r w:rsidR="008369F1" w:rsidRPr="00961BAC">
        <w:rPr>
          <w:sz w:val="28"/>
          <w:szCs w:val="28"/>
        </w:rPr>
        <w:t>201</w:t>
      </w:r>
      <w:r w:rsidR="003B250A" w:rsidRPr="00961BAC">
        <w:rPr>
          <w:sz w:val="28"/>
          <w:szCs w:val="28"/>
        </w:rPr>
        <w:t>6</w:t>
      </w:r>
      <w:r w:rsidR="008369F1" w:rsidRPr="00961BAC">
        <w:rPr>
          <w:sz w:val="28"/>
          <w:szCs w:val="28"/>
        </w:rPr>
        <w:t xml:space="preserve"> годы» </w:t>
      </w:r>
      <w:r>
        <w:rPr>
          <w:sz w:val="28"/>
          <w:szCs w:val="28"/>
        </w:rPr>
        <w:t xml:space="preserve">заменить </w:t>
      </w:r>
      <w:r w:rsidR="00267D86" w:rsidRPr="00961BAC">
        <w:rPr>
          <w:sz w:val="28"/>
          <w:szCs w:val="28"/>
        </w:rPr>
        <w:t>слова</w:t>
      </w:r>
      <w:r>
        <w:rPr>
          <w:sz w:val="28"/>
          <w:szCs w:val="28"/>
        </w:rPr>
        <w:t>ми</w:t>
      </w:r>
      <w:r w:rsidR="00267D86" w:rsidRPr="00961B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3B250A" w:rsidRPr="00961BAC">
        <w:rPr>
          <w:sz w:val="28"/>
          <w:szCs w:val="28"/>
        </w:rPr>
        <w:t>«2014</w:t>
      </w:r>
      <w:r>
        <w:rPr>
          <w:sz w:val="28"/>
          <w:szCs w:val="28"/>
        </w:rPr>
        <w:t xml:space="preserve"> – </w:t>
      </w:r>
      <w:r w:rsidR="003B250A" w:rsidRPr="00961BAC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="003B250A" w:rsidRPr="00961BAC">
        <w:rPr>
          <w:sz w:val="28"/>
          <w:szCs w:val="28"/>
        </w:rPr>
        <w:t>годы».</w:t>
      </w:r>
    </w:p>
    <w:p w:rsidR="00C10919" w:rsidRPr="00961BAC" w:rsidRDefault="001B1789" w:rsidP="00961B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853291">
        <w:rPr>
          <w:sz w:val="28"/>
          <w:szCs w:val="28"/>
        </w:rPr>
        <w:t xml:space="preserve"> В приложении к постановлению: </w:t>
      </w:r>
    </w:p>
    <w:p w:rsidR="00C24997" w:rsidRPr="00961BAC" w:rsidRDefault="00C10919" w:rsidP="00961BAC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 </w:t>
      </w:r>
      <w:r w:rsidR="00307FFC" w:rsidRPr="00961BAC">
        <w:rPr>
          <w:sz w:val="28"/>
          <w:szCs w:val="28"/>
        </w:rPr>
        <w:t xml:space="preserve"> </w:t>
      </w:r>
      <w:r w:rsidR="001B1789">
        <w:rPr>
          <w:sz w:val="28"/>
          <w:szCs w:val="28"/>
        </w:rPr>
        <w:tab/>
      </w:r>
      <w:r w:rsidR="00307FFC" w:rsidRPr="00961BAC">
        <w:rPr>
          <w:sz w:val="28"/>
          <w:szCs w:val="28"/>
        </w:rPr>
        <w:t>1.2.</w:t>
      </w:r>
      <w:r w:rsidRPr="00961BAC">
        <w:rPr>
          <w:sz w:val="28"/>
          <w:szCs w:val="28"/>
        </w:rPr>
        <w:t>1.</w:t>
      </w:r>
      <w:r w:rsidR="00DF1959">
        <w:rPr>
          <w:sz w:val="28"/>
          <w:szCs w:val="28"/>
        </w:rPr>
        <w:t xml:space="preserve"> В разделе 1 «Паспорт программы» строки «Объемы                    и источники финансирования Программы</w:t>
      </w:r>
      <w:r w:rsidR="00853291">
        <w:rPr>
          <w:sz w:val="28"/>
          <w:szCs w:val="28"/>
        </w:rPr>
        <w:t>»</w:t>
      </w:r>
      <w:r w:rsidR="009823AD" w:rsidRPr="009823AD">
        <w:rPr>
          <w:sz w:val="28"/>
          <w:szCs w:val="28"/>
        </w:rPr>
        <w:t xml:space="preserve"> </w:t>
      </w:r>
      <w:r w:rsidR="00853291">
        <w:rPr>
          <w:sz w:val="28"/>
          <w:szCs w:val="28"/>
        </w:rPr>
        <w:t>и «О</w:t>
      </w:r>
      <w:r w:rsidR="009823AD">
        <w:rPr>
          <w:sz w:val="28"/>
          <w:szCs w:val="28"/>
        </w:rPr>
        <w:t>жидаемые конечные результаты Программы</w:t>
      </w:r>
      <w:r w:rsidR="00DF1959">
        <w:rPr>
          <w:sz w:val="28"/>
          <w:szCs w:val="28"/>
        </w:rPr>
        <w:t>» изложить в следующей редакции:</w:t>
      </w:r>
    </w:p>
    <w:p w:rsidR="00C24997" w:rsidRPr="00961BAC" w:rsidRDefault="009823AD" w:rsidP="00961B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1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6930"/>
      </w:tblGrid>
      <w:tr w:rsidR="00127F8C" w:rsidRPr="00961BAC" w:rsidTr="00127F8C">
        <w:trPr>
          <w:cantSplit/>
          <w:trHeight w:val="225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C" w:rsidRPr="00961BAC" w:rsidRDefault="00127F8C" w:rsidP="00DF1959">
            <w:pPr>
              <w:pStyle w:val="a3"/>
              <w:rPr>
                <w:sz w:val="28"/>
                <w:szCs w:val="28"/>
              </w:rPr>
            </w:pPr>
            <w:r w:rsidRPr="00961BAC">
              <w:rPr>
                <w:sz w:val="28"/>
                <w:szCs w:val="28"/>
              </w:rPr>
              <w:t xml:space="preserve">Объемы и      </w:t>
            </w:r>
            <w:r w:rsidRPr="00961BAC">
              <w:rPr>
                <w:sz w:val="28"/>
                <w:szCs w:val="28"/>
              </w:rPr>
              <w:br/>
              <w:t xml:space="preserve">источники     </w:t>
            </w:r>
            <w:r w:rsidRPr="00961BAC">
              <w:rPr>
                <w:sz w:val="28"/>
                <w:szCs w:val="28"/>
              </w:rPr>
              <w:br/>
              <w:t>финансирования</w:t>
            </w:r>
            <w:r w:rsidRPr="00961BAC">
              <w:rPr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8C" w:rsidRPr="00961BAC" w:rsidRDefault="00127F8C" w:rsidP="00DF1959">
            <w:pPr>
              <w:pStyle w:val="a3"/>
              <w:jc w:val="both"/>
              <w:rPr>
                <w:sz w:val="28"/>
                <w:szCs w:val="28"/>
              </w:rPr>
            </w:pPr>
            <w:r w:rsidRPr="00961BAC">
              <w:rPr>
                <w:sz w:val="28"/>
                <w:szCs w:val="28"/>
              </w:rPr>
              <w:t>общий предполагаемый объем финансирования Программы на 2014 – 2017 годы за счет средств бюджета района – 11 500,0 тыс. рублей, в том числе:</w:t>
            </w:r>
          </w:p>
          <w:p w:rsidR="00127F8C" w:rsidRPr="00961BAC" w:rsidRDefault="00127F8C" w:rsidP="00DF1959">
            <w:pPr>
              <w:pStyle w:val="a3"/>
              <w:jc w:val="both"/>
              <w:rPr>
                <w:sz w:val="28"/>
                <w:szCs w:val="28"/>
              </w:rPr>
            </w:pPr>
            <w:r w:rsidRPr="00961BAC">
              <w:rPr>
                <w:sz w:val="28"/>
                <w:szCs w:val="28"/>
              </w:rPr>
              <w:t>2014 год – 7 000,0 тыс. рублей;</w:t>
            </w:r>
          </w:p>
          <w:p w:rsidR="00127F8C" w:rsidRPr="00961BAC" w:rsidRDefault="00127F8C" w:rsidP="00DF1959">
            <w:pPr>
              <w:pStyle w:val="a3"/>
              <w:jc w:val="both"/>
              <w:rPr>
                <w:sz w:val="28"/>
                <w:szCs w:val="28"/>
              </w:rPr>
            </w:pPr>
            <w:r w:rsidRPr="00961BAC">
              <w:rPr>
                <w:sz w:val="28"/>
                <w:szCs w:val="28"/>
              </w:rPr>
              <w:t>2015 год – 1500 тыс. рублей;</w:t>
            </w:r>
          </w:p>
          <w:p w:rsidR="00127F8C" w:rsidRPr="00961BAC" w:rsidRDefault="00127F8C" w:rsidP="00961BAC">
            <w:pPr>
              <w:pStyle w:val="a3"/>
              <w:jc w:val="both"/>
              <w:rPr>
                <w:sz w:val="28"/>
                <w:szCs w:val="28"/>
              </w:rPr>
            </w:pPr>
            <w:r w:rsidRPr="00961BAC">
              <w:rPr>
                <w:sz w:val="28"/>
                <w:szCs w:val="28"/>
              </w:rPr>
              <w:t>2016 год – 1500 тыс. рублей;</w:t>
            </w:r>
          </w:p>
          <w:p w:rsidR="00127F8C" w:rsidRPr="00961BAC" w:rsidRDefault="00127F8C" w:rsidP="00961BAC">
            <w:pPr>
              <w:pStyle w:val="a3"/>
              <w:jc w:val="both"/>
              <w:rPr>
                <w:sz w:val="28"/>
                <w:szCs w:val="28"/>
              </w:rPr>
            </w:pPr>
            <w:r w:rsidRPr="00961BAC">
              <w:rPr>
                <w:sz w:val="28"/>
                <w:szCs w:val="28"/>
              </w:rPr>
              <w:t>2017 год – 1500 тыс. рублей</w:t>
            </w:r>
          </w:p>
        </w:tc>
      </w:tr>
      <w:tr w:rsidR="00C24997" w:rsidRPr="00961BAC" w:rsidTr="00127F8C">
        <w:trPr>
          <w:cantSplit/>
          <w:trHeight w:val="960"/>
        </w:trPr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97" w:rsidRPr="00961BAC" w:rsidRDefault="00C24997" w:rsidP="00DF1959">
            <w:pPr>
              <w:pStyle w:val="a3"/>
              <w:rPr>
                <w:sz w:val="28"/>
                <w:szCs w:val="28"/>
              </w:rPr>
            </w:pPr>
            <w:r w:rsidRPr="00961BAC">
              <w:rPr>
                <w:sz w:val="28"/>
                <w:szCs w:val="28"/>
              </w:rPr>
              <w:lastRenderedPageBreak/>
              <w:t xml:space="preserve">Ожидаемые     </w:t>
            </w:r>
            <w:r w:rsidRPr="00961BAC">
              <w:rPr>
                <w:sz w:val="28"/>
                <w:szCs w:val="28"/>
              </w:rPr>
              <w:br/>
              <w:t xml:space="preserve">конечные      </w:t>
            </w:r>
            <w:r w:rsidRPr="00961BAC">
              <w:rPr>
                <w:sz w:val="28"/>
                <w:szCs w:val="28"/>
              </w:rPr>
              <w:br/>
              <w:t xml:space="preserve">результаты    </w:t>
            </w:r>
            <w:r w:rsidRPr="00961BAC">
              <w:rPr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97" w:rsidRPr="00961BAC" w:rsidRDefault="00C24997" w:rsidP="00961BAC">
            <w:pPr>
              <w:pStyle w:val="a3"/>
              <w:jc w:val="both"/>
              <w:rPr>
                <w:sz w:val="28"/>
                <w:szCs w:val="28"/>
              </w:rPr>
            </w:pPr>
            <w:r w:rsidRPr="00961BAC">
              <w:rPr>
                <w:sz w:val="28"/>
                <w:szCs w:val="28"/>
              </w:rPr>
              <w:t xml:space="preserve">к 2017 году </w:t>
            </w:r>
            <w:r w:rsidRPr="00961BAC">
              <w:rPr>
                <w:bCs/>
                <w:sz w:val="28"/>
                <w:szCs w:val="28"/>
              </w:rPr>
              <w:t xml:space="preserve">  количество земельных участков, </w:t>
            </w:r>
            <w:r w:rsidR="00DF1959">
              <w:rPr>
                <w:bCs/>
                <w:sz w:val="28"/>
                <w:szCs w:val="28"/>
              </w:rPr>
              <w:t xml:space="preserve">                 </w:t>
            </w:r>
            <w:r w:rsidRPr="00961BAC">
              <w:rPr>
                <w:bCs/>
                <w:sz w:val="28"/>
                <w:szCs w:val="28"/>
              </w:rPr>
              <w:t xml:space="preserve">на которые зарегистрировано право муниципальной собственности, увеличится и </w:t>
            </w:r>
            <w:r w:rsidR="00DF1959">
              <w:rPr>
                <w:bCs/>
                <w:sz w:val="28"/>
                <w:szCs w:val="28"/>
              </w:rPr>
              <w:t>достигнет 668 единиц</w:t>
            </w:r>
            <w:r w:rsidRPr="00961BAC">
              <w:rPr>
                <w:bCs/>
                <w:sz w:val="28"/>
                <w:szCs w:val="28"/>
              </w:rPr>
              <w:t>;</w:t>
            </w:r>
          </w:p>
          <w:p w:rsidR="00C24997" w:rsidRPr="00961BAC" w:rsidRDefault="00C24997" w:rsidP="00961BAC">
            <w:pPr>
              <w:pStyle w:val="a3"/>
              <w:jc w:val="both"/>
              <w:rPr>
                <w:sz w:val="28"/>
                <w:szCs w:val="28"/>
              </w:rPr>
            </w:pPr>
            <w:r w:rsidRPr="00961BAC">
              <w:rPr>
                <w:sz w:val="28"/>
                <w:szCs w:val="28"/>
              </w:rPr>
              <w:t xml:space="preserve">количество граждан, зарегистрировавших право собственности на земельные участки в рамках реализации  Федерального закона от 30.06.2006 </w:t>
            </w:r>
            <w:r w:rsidR="00DF1959">
              <w:rPr>
                <w:sz w:val="28"/>
                <w:szCs w:val="28"/>
              </w:rPr>
              <w:t xml:space="preserve">                         </w:t>
            </w:r>
            <w:r w:rsidRPr="00961BAC">
              <w:rPr>
                <w:sz w:val="28"/>
                <w:szCs w:val="28"/>
              </w:rPr>
              <w:t xml:space="preserve">№ 93-ФЗ «Дачная амнистия», к 2017 году увеличится </w:t>
            </w:r>
            <w:r w:rsidR="00DF1959">
              <w:rPr>
                <w:sz w:val="28"/>
                <w:szCs w:val="28"/>
              </w:rPr>
              <w:t xml:space="preserve">                </w:t>
            </w:r>
            <w:r w:rsidRPr="00961BAC">
              <w:rPr>
                <w:sz w:val="28"/>
                <w:szCs w:val="28"/>
              </w:rPr>
              <w:t xml:space="preserve">и достигнет </w:t>
            </w:r>
            <w:r w:rsidR="004951C0" w:rsidRPr="00961BAC">
              <w:rPr>
                <w:sz w:val="28"/>
                <w:szCs w:val="28"/>
              </w:rPr>
              <w:t>104</w:t>
            </w:r>
            <w:r w:rsidRPr="00961BAC">
              <w:rPr>
                <w:sz w:val="28"/>
                <w:szCs w:val="28"/>
              </w:rPr>
              <w:t xml:space="preserve"> человек</w:t>
            </w:r>
            <w:r w:rsidR="004951C0" w:rsidRPr="00961BAC">
              <w:rPr>
                <w:sz w:val="28"/>
                <w:szCs w:val="28"/>
              </w:rPr>
              <w:t>а</w:t>
            </w:r>
            <w:r w:rsidRPr="00961BAC">
              <w:rPr>
                <w:sz w:val="28"/>
                <w:szCs w:val="28"/>
              </w:rPr>
              <w:t>;</w:t>
            </w:r>
          </w:p>
          <w:p w:rsidR="00C24997" w:rsidRPr="00961BAC" w:rsidRDefault="00C24997" w:rsidP="00961BAC">
            <w:pPr>
              <w:pStyle w:val="a3"/>
              <w:jc w:val="both"/>
              <w:rPr>
                <w:sz w:val="28"/>
                <w:szCs w:val="28"/>
              </w:rPr>
            </w:pPr>
            <w:r w:rsidRPr="00961BAC">
              <w:rPr>
                <w:sz w:val="28"/>
                <w:szCs w:val="28"/>
              </w:rPr>
              <w:t>формирование земельных участков и внесение всех необходимых сведений о них в государственный кадастр недвижимости п</w:t>
            </w:r>
            <w:r w:rsidR="00DF1959">
              <w:rPr>
                <w:sz w:val="28"/>
                <w:szCs w:val="28"/>
              </w:rPr>
              <w:t xml:space="preserve">овлияет на рост налогообложения </w:t>
            </w:r>
            <w:r w:rsidRPr="00961BAC">
              <w:rPr>
                <w:sz w:val="28"/>
                <w:szCs w:val="28"/>
              </w:rPr>
              <w:t xml:space="preserve">и увеличения доходной базы бюджета в части поступления земельного налога и платежей арендной платы;     </w:t>
            </w:r>
          </w:p>
          <w:p w:rsidR="00C24997" w:rsidRPr="00961BAC" w:rsidRDefault="00C24997" w:rsidP="00961BAC">
            <w:pPr>
              <w:pStyle w:val="a3"/>
              <w:jc w:val="both"/>
              <w:rPr>
                <w:sz w:val="28"/>
                <w:szCs w:val="28"/>
              </w:rPr>
            </w:pPr>
            <w:r w:rsidRPr="00961BAC">
              <w:rPr>
                <w:sz w:val="28"/>
                <w:szCs w:val="28"/>
              </w:rPr>
              <w:t xml:space="preserve">ожидаемый объем  поступлений земельного налога                      к 2017 году составит </w:t>
            </w:r>
            <w:r w:rsidR="00132EBA" w:rsidRPr="00961BAC">
              <w:rPr>
                <w:sz w:val="28"/>
                <w:szCs w:val="28"/>
              </w:rPr>
              <w:t>5486,3</w:t>
            </w:r>
            <w:r w:rsidRPr="00961BAC">
              <w:rPr>
                <w:sz w:val="28"/>
                <w:szCs w:val="28"/>
              </w:rPr>
              <w:t xml:space="preserve"> тыс. рублей, арендной               платы – </w:t>
            </w:r>
            <w:r w:rsidR="00267D86" w:rsidRPr="00961BAC">
              <w:rPr>
                <w:sz w:val="28"/>
                <w:szCs w:val="28"/>
              </w:rPr>
              <w:t>51 800</w:t>
            </w:r>
            <w:r w:rsidRPr="00961BAC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DF1959" w:rsidRDefault="00DF1959" w:rsidP="00DF19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».</w:t>
      </w:r>
    </w:p>
    <w:p w:rsidR="00307FFC" w:rsidRPr="00961BAC" w:rsidRDefault="004C1444" w:rsidP="00961B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7FFC" w:rsidRPr="00961BAC">
        <w:rPr>
          <w:sz w:val="28"/>
          <w:szCs w:val="28"/>
        </w:rPr>
        <w:t>1.</w:t>
      </w:r>
      <w:r w:rsidR="00C10919" w:rsidRPr="00961BAC">
        <w:rPr>
          <w:sz w:val="28"/>
          <w:szCs w:val="28"/>
        </w:rPr>
        <w:t>2.2</w:t>
      </w:r>
      <w:r w:rsidR="00307FFC" w:rsidRPr="00961BAC">
        <w:rPr>
          <w:sz w:val="28"/>
          <w:szCs w:val="28"/>
        </w:rPr>
        <w:t>. Абзац</w:t>
      </w:r>
      <w:r w:rsidR="00C10919" w:rsidRPr="00961BAC">
        <w:rPr>
          <w:sz w:val="28"/>
          <w:szCs w:val="28"/>
        </w:rPr>
        <w:t>ы</w:t>
      </w:r>
      <w:r w:rsidR="00307FFC" w:rsidRPr="00961BAC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, 10, 11 раздела 2 </w:t>
      </w:r>
      <w:r w:rsidR="00C10919" w:rsidRPr="00961BAC">
        <w:rPr>
          <w:sz w:val="28"/>
          <w:szCs w:val="28"/>
        </w:rPr>
        <w:t xml:space="preserve">«Характеристика проблемы, </w:t>
      </w:r>
      <w:r>
        <w:rPr>
          <w:sz w:val="28"/>
          <w:szCs w:val="28"/>
        </w:rPr>
        <w:t xml:space="preserve">                    </w:t>
      </w:r>
      <w:r w:rsidR="00C10919" w:rsidRPr="00961BAC">
        <w:rPr>
          <w:sz w:val="28"/>
          <w:szCs w:val="28"/>
        </w:rPr>
        <w:t>на решение которой направлена целевая программа»</w:t>
      </w:r>
      <w:r w:rsidR="00307FFC" w:rsidRPr="00961BAC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 xml:space="preserve">                         </w:t>
      </w:r>
      <w:r w:rsidR="00307FFC" w:rsidRPr="00961BAC">
        <w:rPr>
          <w:sz w:val="28"/>
          <w:szCs w:val="28"/>
        </w:rPr>
        <w:t>в следующей редакции:</w:t>
      </w:r>
    </w:p>
    <w:p w:rsidR="00307FFC" w:rsidRPr="00961BAC" w:rsidRDefault="004C1444" w:rsidP="00961B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7FFC" w:rsidRPr="00961BAC">
        <w:rPr>
          <w:sz w:val="28"/>
          <w:szCs w:val="28"/>
        </w:rPr>
        <w:t>«Всего в результате выполнения указанных работ будет поставлено                        на государственный кадастровый учет и зарегистрировано в собственность граждан 16 земельных участков, что обеспечит увеличение объема поступлений земельного налога от физических лиц.</w:t>
      </w:r>
    </w:p>
    <w:p w:rsidR="00307FFC" w:rsidRPr="00961BAC" w:rsidRDefault="004C1444" w:rsidP="00961B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7FFC" w:rsidRPr="00961BAC">
        <w:rPr>
          <w:sz w:val="28"/>
          <w:szCs w:val="28"/>
        </w:rPr>
        <w:t>В соответствии с п. 4 ст. 16 Федерального закона от 29.12.2004                 №</w:t>
      </w:r>
      <w:r>
        <w:rPr>
          <w:sz w:val="28"/>
          <w:szCs w:val="28"/>
        </w:rPr>
        <w:t xml:space="preserve"> </w:t>
      </w:r>
      <w:r w:rsidR="00307FFC" w:rsidRPr="00961BAC">
        <w:rPr>
          <w:sz w:val="28"/>
          <w:szCs w:val="28"/>
        </w:rPr>
        <w:t xml:space="preserve">189-ФЗ «О введении в действие Жилищного кодекса» формирование земельного участка, на котором расположен многоквартирный дом, осуществляется органами государственной власти или органами местного самоуправления. Соответственно муниципальные образования вправе осуществлять организацию и финансирование мероприятий </w:t>
      </w:r>
      <w:r>
        <w:rPr>
          <w:sz w:val="28"/>
          <w:szCs w:val="28"/>
        </w:rPr>
        <w:t xml:space="preserve">                                по выполнению </w:t>
      </w:r>
      <w:r w:rsidR="00307FFC" w:rsidRPr="00961BAC">
        <w:rPr>
          <w:sz w:val="28"/>
          <w:szCs w:val="28"/>
        </w:rPr>
        <w:t>в отношении земельных участков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сведения. В настоящее время на территории района  на кадастровый учет поставлено 1146 земельных участ</w:t>
      </w:r>
      <w:r>
        <w:rPr>
          <w:sz w:val="28"/>
          <w:szCs w:val="28"/>
        </w:rPr>
        <w:t>ков</w:t>
      </w:r>
      <w:r w:rsidR="00307FFC" w:rsidRPr="00961BAC">
        <w:rPr>
          <w:sz w:val="28"/>
          <w:szCs w:val="28"/>
        </w:rPr>
        <w:t xml:space="preserve">, сформированных для обслуживания многоквартирных </w:t>
      </w:r>
      <w:r>
        <w:rPr>
          <w:sz w:val="28"/>
          <w:szCs w:val="28"/>
        </w:rPr>
        <w:t xml:space="preserve"> жилых домов. </w:t>
      </w:r>
      <w:r w:rsidR="00307FFC" w:rsidRPr="00961BAC">
        <w:rPr>
          <w:sz w:val="28"/>
          <w:szCs w:val="28"/>
        </w:rPr>
        <w:t>С момента постановки на кадастровый учет участок становится объектом налогообложения (облагается земельным налогом). По состоян</w:t>
      </w:r>
      <w:r>
        <w:rPr>
          <w:sz w:val="28"/>
          <w:szCs w:val="28"/>
        </w:rPr>
        <w:t xml:space="preserve">ию </w:t>
      </w:r>
      <w:r w:rsidR="00307FFC" w:rsidRPr="00961BAC">
        <w:rPr>
          <w:sz w:val="28"/>
          <w:szCs w:val="28"/>
        </w:rPr>
        <w:t xml:space="preserve">на 01.01.2014 всего в Ханты-Мансийском </w:t>
      </w:r>
      <w:r>
        <w:rPr>
          <w:sz w:val="28"/>
          <w:szCs w:val="28"/>
        </w:rPr>
        <w:t xml:space="preserve">районе насчитывается </w:t>
      </w:r>
      <w:r w:rsidR="00307FFC" w:rsidRPr="00961BAC">
        <w:rPr>
          <w:sz w:val="28"/>
          <w:szCs w:val="28"/>
        </w:rPr>
        <w:t xml:space="preserve">1374 </w:t>
      </w:r>
      <w:proofErr w:type="gramStart"/>
      <w:r w:rsidR="00307FFC" w:rsidRPr="00961BAC">
        <w:rPr>
          <w:sz w:val="28"/>
          <w:szCs w:val="28"/>
        </w:rPr>
        <w:t>многоквартирных</w:t>
      </w:r>
      <w:proofErr w:type="gramEnd"/>
      <w:r w:rsidR="00307FFC" w:rsidRPr="00961BAC">
        <w:rPr>
          <w:sz w:val="28"/>
          <w:szCs w:val="28"/>
        </w:rPr>
        <w:t xml:space="preserve"> жилых дома. Проведение кадаст</w:t>
      </w:r>
      <w:r>
        <w:rPr>
          <w:sz w:val="28"/>
          <w:szCs w:val="28"/>
        </w:rPr>
        <w:t xml:space="preserve">ровых работ </w:t>
      </w:r>
      <w:r w:rsidR="00307FFC" w:rsidRPr="00961BAC">
        <w:rPr>
          <w:sz w:val="28"/>
          <w:szCs w:val="28"/>
        </w:rPr>
        <w:t>в отношении всех возможных земельных участков (часть у</w:t>
      </w:r>
      <w:r>
        <w:rPr>
          <w:sz w:val="28"/>
          <w:szCs w:val="28"/>
        </w:rPr>
        <w:t xml:space="preserve">частков выпадает </w:t>
      </w:r>
      <w:r w:rsidR="00307FFC" w:rsidRPr="00961BAC">
        <w:rPr>
          <w:sz w:val="28"/>
          <w:szCs w:val="28"/>
        </w:rPr>
        <w:t xml:space="preserve">из объема ввиду того, что ранее постановлены на кадастровый учет участки под квартиры), занятых </w:t>
      </w:r>
      <w:r w:rsidR="00307FFC" w:rsidRPr="00961BAC">
        <w:rPr>
          <w:sz w:val="28"/>
          <w:szCs w:val="28"/>
        </w:rPr>
        <w:lastRenderedPageBreak/>
        <w:t>многоквартирными домами, обеспечит увеличение доходов бюджета Ханты-Мансийского района и бюджетов сельских поселений.</w:t>
      </w:r>
    </w:p>
    <w:p w:rsidR="00307FFC" w:rsidRPr="00961BAC" w:rsidRDefault="004C1444" w:rsidP="00961B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0919" w:rsidRPr="00961BAC">
        <w:rPr>
          <w:sz w:val="28"/>
          <w:szCs w:val="28"/>
        </w:rPr>
        <w:t>П</w:t>
      </w:r>
      <w:r w:rsidR="00307FFC" w:rsidRPr="00961BAC">
        <w:rPr>
          <w:sz w:val="28"/>
          <w:szCs w:val="28"/>
        </w:rPr>
        <w:t>о площади земельных участков, предоставленных для жилищного строительства и комплексного освоения в целях жилищного строительства, Ханты-Мансийский район занимает одно из лидирующих мест среди других муниципальных образований атомного округа. Для поддержания высоких темпов предоставления земель под указанные цели необходимо обеспечи</w:t>
      </w:r>
      <w:r>
        <w:rPr>
          <w:sz w:val="28"/>
          <w:szCs w:val="28"/>
        </w:rPr>
        <w:t>ть формирование новых земельных</w:t>
      </w:r>
      <w:r w:rsidR="00307FFC" w:rsidRPr="00961BAC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ков. Для этого требуется, чтобы </w:t>
      </w:r>
      <w:r w:rsidR="00307FFC" w:rsidRPr="00961BAC">
        <w:rPr>
          <w:sz w:val="28"/>
          <w:szCs w:val="28"/>
        </w:rPr>
        <w:t>все сведения о существующих, ранее в</w:t>
      </w:r>
      <w:r>
        <w:rPr>
          <w:sz w:val="28"/>
          <w:szCs w:val="28"/>
        </w:rPr>
        <w:t xml:space="preserve">озникших, ранее предоставленных </w:t>
      </w:r>
      <w:r w:rsidR="00307FFC" w:rsidRPr="00961BAC">
        <w:rPr>
          <w:sz w:val="28"/>
          <w:szCs w:val="28"/>
        </w:rPr>
        <w:t xml:space="preserve">(без кадастрового учета земельных участках) были внесены в сведения государственного кадастра недвижимости. Для этого необходимо провести комплекс соответствующих действий </w:t>
      </w:r>
      <w:r>
        <w:rPr>
          <w:sz w:val="28"/>
          <w:szCs w:val="28"/>
        </w:rPr>
        <w:t xml:space="preserve">                                </w:t>
      </w:r>
      <w:r w:rsidR="00307FFC" w:rsidRPr="00961BAC">
        <w:rPr>
          <w:sz w:val="28"/>
          <w:szCs w:val="28"/>
        </w:rPr>
        <w:t>и мероприятий. В р</w:t>
      </w:r>
      <w:r w:rsidR="00765C18">
        <w:rPr>
          <w:sz w:val="28"/>
          <w:szCs w:val="28"/>
        </w:rPr>
        <w:t>езультате реализации Программы формируются для предоставления земельные участки</w:t>
      </w:r>
      <w:r w:rsidR="00307FFC" w:rsidRPr="00961BAC">
        <w:rPr>
          <w:sz w:val="28"/>
          <w:szCs w:val="28"/>
        </w:rPr>
        <w:t xml:space="preserve"> </w:t>
      </w:r>
      <w:r>
        <w:rPr>
          <w:sz w:val="28"/>
          <w:szCs w:val="28"/>
        </w:rPr>
        <w:t>под жилищную застройку посредство</w:t>
      </w:r>
      <w:r w:rsidR="00307FFC" w:rsidRPr="00961BAC">
        <w:rPr>
          <w:sz w:val="28"/>
          <w:szCs w:val="28"/>
        </w:rPr>
        <w:t>м аукциона: в 2012 году – 48 участков, в 2013 году –  42 земельных участка, что положительно влияет на увеличение собственной доходной базы бюджета Ханты-Мансийского района</w:t>
      </w:r>
      <w:proofErr w:type="gramStart"/>
      <w:r w:rsidR="00307FFC" w:rsidRPr="00961BAC">
        <w:rPr>
          <w:sz w:val="28"/>
          <w:szCs w:val="28"/>
        </w:rPr>
        <w:t>.</w:t>
      </w:r>
      <w:r w:rsidR="00C10919" w:rsidRPr="00961BA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307FFC" w:rsidRPr="00961BAC" w:rsidRDefault="004C1444" w:rsidP="00961B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7FFC" w:rsidRPr="00961BAC">
        <w:rPr>
          <w:sz w:val="28"/>
          <w:szCs w:val="28"/>
        </w:rPr>
        <w:t>1.</w:t>
      </w:r>
      <w:r w:rsidR="00853291">
        <w:rPr>
          <w:sz w:val="28"/>
          <w:szCs w:val="28"/>
        </w:rPr>
        <w:t>2.</w:t>
      </w:r>
      <w:r w:rsidR="00C10919" w:rsidRPr="00961BAC">
        <w:rPr>
          <w:sz w:val="28"/>
          <w:szCs w:val="28"/>
        </w:rPr>
        <w:t>3</w:t>
      </w:r>
      <w:r w:rsidR="00307FFC" w:rsidRPr="00961BAC">
        <w:rPr>
          <w:sz w:val="28"/>
          <w:szCs w:val="28"/>
        </w:rPr>
        <w:t>. Приложени</w:t>
      </w:r>
      <w:r w:rsidR="00C10919" w:rsidRPr="00961BAC">
        <w:rPr>
          <w:sz w:val="28"/>
          <w:szCs w:val="28"/>
        </w:rPr>
        <w:t>я</w:t>
      </w:r>
      <w:r w:rsidR="00307FFC" w:rsidRPr="00961BAC">
        <w:rPr>
          <w:sz w:val="28"/>
          <w:szCs w:val="28"/>
        </w:rPr>
        <w:t xml:space="preserve"> 1</w:t>
      </w:r>
      <w:r w:rsidR="00C10919" w:rsidRPr="00961BAC">
        <w:rPr>
          <w:sz w:val="28"/>
          <w:szCs w:val="28"/>
        </w:rPr>
        <w:t>, 2</w:t>
      </w:r>
      <w:r w:rsidR="00307FFC" w:rsidRPr="00961BAC">
        <w:rPr>
          <w:sz w:val="28"/>
          <w:szCs w:val="28"/>
        </w:rPr>
        <w:t xml:space="preserve"> к Программе изложить в </w:t>
      </w:r>
      <w:r w:rsidR="00C10919" w:rsidRPr="00961BAC">
        <w:rPr>
          <w:sz w:val="28"/>
          <w:szCs w:val="28"/>
        </w:rPr>
        <w:t>нов</w:t>
      </w:r>
      <w:r>
        <w:rPr>
          <w:sz w:val="28"/>
          <w:szCs w:val="28"/>
        </w:rPr>
        <w:t>ой редакции согласно приложению</w:t>
      </w:r>
      <w:r w:rsidR="00C10919" w:rsidRPr="00961BAC">
        <w:rPr>
          <w:sz w:val="28"/>
          <w:szCs w:val="28"/>
        </w:rPr>
        <w:t xml:space="preserve"> к настоящему постановлению.</w:t>
      </w:r>
    </w:p>
    <w:p w:rsidR="00C10919" w:rsidRPr="00961BAC" w:rsidRDefault="004C1444" w:rsidP="00961B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0919" w:rsidRPr="00961BA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10919" w:rsidRPr="00961BAC">
        <w:rPr>
          <w:sz w:val="28"/>
          <w:szCs w:val="28"/>
        </w:rPr>
        <w:t>Настоящее постановление вступает в силу после опубликования                (обнародования) в газете «Наш район».</w:t>
      </w:r>
    </w:p>
    <w:p w:rsidR="00C10919" w:rsidRPr="00961BAC" w:rsidRDefault="004C1444" w:rsidP="00961BAC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C10919" w:rsidRPr="00961BAC">
        <w:rPr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10919" w:rsidRPr="00961BAC">
        <w:rPr>
          <w:color w:val="000000"/>
          <w:sz w:val="28"/>
          <w:szCs w:val="28"/>
          <w:shd w:val="clear" w:color="auto" w:fill="FFFFFF"/>
        </w:rPr>
        <w:t>Опубликовать настоящее постановление в газете «Наш район»                и разместить на официальном сайте администрации Ханты-Мансийского района.</w:t>
      </w:r>
    </w:p>
    <w:p w:rsidR="00C10919" w:rsidRPr="00961BAC" w:rsidRDefault="004C1444" w:rsidP="00961B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0919" w:rsidRPr="00961BAC">
        <w:rPr>
          <w:sz w:val="28"/>
          <w:szCs w:val="28"/>
        </w:rPr>
        <w:t xml:space="preserve">4. </w:t>
      </w:r>
      <w:proofErr w:type="gramStart"/>
      <w:r w:rsidR="00C10919" w:rsidRPr="00961BAC">
        <w:rPr>
          <w:sz w:val="28"/>
          <w:szCs w:val="28"/>
        </w:rPr>
        <w:t>Контроль за</w:t>
      </w:r>
      <w:proofErr w:type="gramEnd"/>
      <w:r w:rsidR="00C10919" w:rsidRPr="00961BAC">
        <w:rPr>
          <w:sz w:val="28"/>
          <w:szCs w:val="28"/>
        </w:rPr>
        <w:t xml:space="preserve"> выполнением постановления возложить </w:t>
      </w:r>
      <w:r>
        <w:rPr>
          <w:sz w:val="28"/>
          <w:szCs w:val="28"/>
        </w:rPr>
        <w:t xml:space="preserve">                             </w:t>
      </w:r>
      <w:r w:rsidR="00C10919" w:rsidRPr="00961BAC">
        <w:rPr>
          <w:sz w:val="28"/>
          <w:szCs w:val="28"/>
        </w:rPr>
        <w:t>на заместителя главы администрации Ханты-Мансийского района.</w:t>
      </w:r>
    </w:p>
    <w:p w:rsidR="00C10919" w:rsidRPr="00961BAC" w:rsidRDefault="00C10919" w:rsidP="00961BAC">
      <w:pPr>
        <w:pStyle w:val="a3"/>
        <w:jc w:val="both"/>
        <w:rPr>
          <w:sz w:val="28"/>
          <w:szCs w:val="28"/>
        </w:rPr>
      </w:pPr>
    </w:p>
    <w:p w:rsidR="00C10919" w:rsidRPr="00961BAC" w:rsidRDefault="00C10919" w:rsidP="00961BAC">
      <w:pPr>
        <w:pStyle w:val="a3"/>
        <w:jc w:val="both"/>
        <w:rPr>
          <w:sz w:val="28"/>
          <w:szCs w:val="28"/>
        </w:rPr>
      </w:pPr>
    </w:p>
    <w:p w:rsidR="00C10919" w:rsidRPr="00961BAC" w:rsidRDefault="00C10919" w:rsidP="00961BAC">
      <w:pPr>
        <w:pStyle w:val="a3"/>
        <w:jc w:val="both"/>
        <w:rPr>
          <w:sz w:val="28"/>
          <w:szCs w:val="28"/>
        </w:rPr>
      </w:pPr>
    </w:p>
    <w:p w:rsidR="00C10919" w:rsidRPr="00961BAC" w:rsidRDefault="00C10919" w:rsidP="00961BAC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Глава администрации</w:t>
      </w:r>
    </w:p>
    <w:p w:rsidR="00C10919" w:rsidRPr="00961BAC" w:rsidRDefault="00C10919" w:rsidP="004C1444">
      <w:pPr>
        <w:pStyle w:val="a3"/>
        <w:rPr>
          <w:sz w:val="28"/>
          <w:szCs w:val="28"/>
        </w:rPr>
      </w:pPr>
      <w:r w:rsidRPr="00961BAC">
        <w:rPr>
          <w:sz w:val="28"/>
          <w:szCs w:val="28"/>
        </w:rPr>
        <w:t xml:space="preserve">Ханты-Мансийского района      </w:t>
      </w:r>
      <w:r w:rsidRPr="00961BAC">
        <w:rPr>
          <w:sz w:val="28"/>
          <w:szCs w:val="28"/>
        </w:rPr>
        <w:tab/>
      </w:r>
      <w:r w:rsidRPr="00961BAC">
        <w:rPr>
          <w:sz w:val="28"/>
          <w:szCs w:val="28"/>
        </w:rPr>
        <w:tab/>
      </w:r>
      <w:r w:rsidRPr="00961BAC">
        <w:rPr>
          <w:sz w:val="28"/>
          <w:szCs w:val="28"/>
        </w:rPr>
        <w:tab/>
      </w:r>
      <w:r w:rsidRPr="00961BAC">
        <w:rPr>
          <w:sz w:val="28"/>
          <w:szCs w:val="28"/>
        </w:rPr>
        <w:tab/>
        <w:t xml:space="preserve">            </w:t>
      </w:r>
      <w:r w:rsidR="004C1444">
        <w:rPr>
          <w:sz w:val="28"/>
          <w:szCs w:val="28"/>
        </w:rPr>
        <w:t xml:space="preserve">    </w:t>
      </w:r>
      <w:proofErr w:type="spellStart"/>
      <w:r w:rsidRPr="00961BAC">
        <w:rPr>
          <w:sz w:val="28"/>
          <w:szCs w:val="28"/>
        </w:rPr>
        <w:t>В.Г.Усманов</w:t>
      </w:r>
      <w:proofErr w:type="spellEnd"/>
    </w:p>
    <w:p w:rsidR="00C10919" w:rsidRPr="00961BAC" w:rsidRDefault="00C10919" w:rsidP="00961BAC">
      <w:pPr>
        <w:pStyle w:val="a3"/>
        <w:jc w:val="both"/>
        <w:rPr>
          <w:sz w:val="28"/>
          <w:szCs w:val="28"/>
        </w:rPr>
      </w:pPr>
    </w:p>
    <w:p w:rsidR="00C10919" w:rsidRPr="00961BAC" w:rsidRDefault="00C10919" w:rsidP="00961BAC">
      <w:pPr>
        <w:pStyle w:val="a3"/>
        <w:jc w:val="both"/>
        <w:rPr>
          <w:sz w:val="28"/>
          <w:szCs w:val="28"/>
        </w:rPr>
      </w:pPr>
    </w:p>
    <w:p w:rsidR="00C10919" w:rsidRPr="00961BAC" w:rsidRDefault="00C10919" w:rsidP="00961BAC">
      <w:pPr>
        <w:pStyle w:val="a3"/>
        <w:jc w:val="both"/>
        <w:rPr>
          <w:sz w:val="28"/>
          <w:szCs w:val="28"/>
        </w:rPr>
      </w:pPr>
    </w:p>
    <w:p w:rsidR="00C10919" w:rsidRPr="00961BAC" w:rsidRDefault="00C10919" w:rsidP="00961BAC">
      <w:pPr>
        <w:pStyle w:val="a3"/>
        <w:jc w:val="both"/>
        <w:rPr>
          <w:sz w:val="28"/>
          <w:szCs w:val="28"/>
        </w:rPr>
      </w:pPr>
    </w:p>
    <w:p w:rsidR="00C10919" w:rsidRPr="00961BAC" w:rsidRDefault="00C10919" w:rsidP="00961BAC">
      <w:pPr>
        <w:pStyle w:val="a3"/>
        <w:jc w:val="both"/>
        <w:rPr>
          <w:sz w:val="28"/>
          <w:szCs w:val="28"/>
        </w:rPr>
      </w:pPr>
    </w:p>
    <w:p w:rsidR="00C10919" w:rsidRPr="00961BAC" w:rsidRDefault="00C10919" w:rsidP="00961BAC">
      <w:pPr>
        <w:pStyle w:val="a3"/>
        <w:jc w:val="both"/>
        <w:rPr>
          <w:sz w:val="28"/>
          <w:szCs w:val="28"/>
        </w:rPr>
      </w:pPr>
    </w:p>
    <w:p w:rsidR="00C10919" w:rsidRPr="00C10919" w:rsidRDefault="00C10919" w:rsidP="00C10919">
      <w:pPr>
        <w:rPr>
          <w:rFonts w:ascii="Times New Roman" w:hAnsi="Times New Roman"/>
        </w:rPr>
      </w:pPr>
    </w:p>
    <w:p w:rsidR="00C10919" w:rsidRPr="00C10919" w:rsidRDefault="00C10919" w:rsidP="00C10919">
      <w:pPr>
        <w:rPr>
          <w:rFonts w:ascii="Times New Roman" w:hAnsi="Times New Roman"/>
        </w:rPr>
      </w:pPr>
    </w:p>
    <w:p w:rsidR="00C10919" w:rsidRPr="00C10919" w:rsidRDefault="00C10919" w:rsidP="00C10919">
      <w:pPr>
        <w:rPr>
          <w:rFonts w:ascii="Times New Roman" w:hAnsi="Times New Roman"/>
        </w:rPr>
      </w:pPr>
    </w:p>
    <w:p w:rsidR="00C10919" w:rsidRDefault="00C10919" w:rsidP="00C10919">
      <w:pPr>
        <w:rPr>
          <w:rFonts w:ascii="Times New Roman" w:hAnsi="Times New Roman"/>
        </w:rPr>
      </w:pPr>
    </w:p>
    <w:p w:rsidR="00C10919" w:rsidRDefault="00C10919" w:rsidP="00C10919">
      <w:pPr>
        <w:rPr>
          <w:rFonts w:ascii="Times New Roman" w:hAnsi="Times New Roman"/>
        </w:rPr>
      </w:pPr>
    </w:p>
    <w:p w:rsidR="005D5216" w:rsidRDefault="005D5216" w:rsidP="00C10919">
      <w:pPr>
        <w:rPr>
          <w:rFonts w:ascii="Times New Roman" w:hAnsi="Times New Roman"/>
        </w:rPr>
      </w:pPr>
    </w:p>
    <w:p w:rsidR="00C10919" w:rsidRDefault="00C10919" w:rsidP="00C10919">
      <w:pPr>
        <w:rPr>
          <w:rFonts w:ascii="Times New Roman" w:hAnsi="Times New Roman"/>
        </w:rPr>
      </w:pPr>
    </w:p>
    <w:p w:rsidR="00C10919" w:rsidRDefault="00C10919" w:rsidP="00C10919">
      <w:pPr>
        <w:rPr>
          <w:rFonts w:ascii="Times New Roman" w:hAnsi="Times New Roman"/>
        </w:rPr>
      </w:pPr>
    </w:p>
    <w:p w:rsidR="00C10919" w:rsidRPr="00C10919" w:rsidRDefault="00C10919" w:rsidP="00C10919">
      <w:pPr>
        <w:rPr>
          <w:rFonts w:ascii="Times New Roman" w:hAnsi="Times New Roman"/>
        </w:rPr>
      </w:pPr>
    </w:p>
    <w:p w:rsidR="004C1444" w:rsidRDefault="00C10919" w:rsidP="004C1444">
      <w:pPr>
        <w:pStyle w:val="a3"/>
        <w:jc w:val="right"/>
        <w:rPr>
          <w:sz w:val="28"/>
          <w:szCs w:val="28"/>
        </w:rPr>
      </w:pPr>
      <w:r w:rsidRPr="00961BAC">
        <w:rPr>
          <w:sz w:val="28"/>
          <w:szCs w:val="28"/>
        </w:rPr>
        <w:lastRenderedPageBreak/>
        <w:t>Приложение</w:t>
      </w:r>
      <w:r w:rsidR="004C1444"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 xml:space="preserve"> </w:t>
      </w:r>
    </w:p>
    <w:p w:rsidR="00C10919" w:rsidRPr="00961BAC" w:rsidRDefault="00C10919" w:rsidP="004C1444">
      <w:pPr>
        <w:pStyle w:val="a3"/>
        <w:jc w:val="right"/>
        <w:rPr>
          <w:sz w:val="28"/>
          <w:szCs w:val="28"/>
        </w:rPr>
      </w:pPr>
      <w:r w:rsidRPr="00961BAC">
        <w:rPr>
          <w:sz w:val="28"/>
          <w:szCs w:val="28"/>
        </w:rPr>
        <w:t>к постановлению администрации</w:t>
      </w:r>
    </w:p>
    <w:p w:rsidR="00C10919" w:rsidRPr="00961BAC" w:rsidRDefault="00C10919" w:rsidP="004C1444">
      <w:pPr>
        <w:pStyle w:val="a3"/>
        <w:jc w:val="right"/>
        <w:rPr>
          <w:sz w:val="28"/>
          <w:szCs w:val="28"/>
        </w:rPr>
      </w:pPr>
      <w:r w:rsidRPr="00961BAC">
        <w:rPr>
          <w:sz w:val="28"/>
          <w:szCs w:val="28"/>
        </w:rPr>
        <w:t>Ханты-Мансийского района</w:t>
      </w:r>
    </w:p>
    <w:p w:rsidR="00C10919" w:rsidRDefault="005A2C93" w:rsidP="004C144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30.09.2014 № 272</w:t>
      </w:r>
    </w:p>
    <w:p w:rsidR="004C1444" w:rsidRPr="00961BAC" w:rsidRDefault="004C1444" w:rsidP="004C1444">
      <w:pPr>
        <w:pStyle w:val="a3"/>
        <w:jc w:val="right"/>
        <w:rPr>
          <w:sz w:val="28"/>
          <w:szCs w:val="28"/>
        </w:rPr>
      </w:pPr>
    </w:p>
    <w:p w:rsidR="00C10919" w:rsidRPr="00961BAC" w:rsidRDefault="004C1444" w:rsidP="004C144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C10919" w:rsidRPr="00961BAC">
        <w:rPr>
          <w:sz w:val="28"/>
          <w:szCs w:val="28"/>
        </w:rPr>
        <w:t>Приложение 1 к Программе</w:t>
      </w:r>
    </w:p>
    <w:p w:rsidR="00C10919" w:rsidRPr="00961BAC" w:rsidRDefault="00C10919" w:rsidP="00961BAC">
      <w:pPr>
        <w:pStyle w:val="a3"/>
        <w:jc w:val="both"/>
        <w:rPr>
          <w:sz w:val="28"/>
          <w:szCs w:val="28"/>
        </w:rPr>
      </w:pPr>
    </w:p>
    <w:p w:rsidR="004C1444" w:rsidRDefault="00307FFC" w:rsidP="004C1444">
      <w:pPr>
        <w:pStyle w:val="a3"/>
        <w:jc w:val="center"/>
        <w:rPr>
          <w:sz w:val="28"/>
          <w:szCs w:val="28"/>
        </w:rPr>
      </w:pPr>
      <w:r w:rsidRPr="00961BAC">
        <w:rPr>
          <w:sz w:val="28"/>
          <w:szCs w:val="28"/>
        </w:rPr>
        <w:t>Система показателей,</w:t>
      </w:r>
      <w:r w:rsidR="004C1444"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>характеризующих результаты реализации муниципальной</w:t>
      </w:r>
      <w:r w:rsidR="004C1444"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 xml:space="preserve">программы  «Ведение землеустройства </w:t>
      </w:r>
    </w:p>
    <w:p w:rsidR="004C1444" w:rsidRDefault="00307FFC" w:rsidP="004C1444">
      <w:pPr>
        <w:pStyle w:val="a3"/>
        <w:jc w:val="center"/>
        <w:rPr>
          <w:sz w:val="28"/>
          <w:szCs w:val="28"/>
        </w:rPr>
      </w:pPr>
      <w:r w:rsidRPr="00961BAC">
        <w:rPr>
          <w:sz w:val="28"/>
          <w:szCs w:val="28"/>
        </w:rPr>
        <w:t xml:space="preserve">и рационального использования земельных ресурсов </w:t>
      </w:r>
    </w:p>
    <w:p w:rsidR="00307FFC" w:rsidRPr="00961BAC" w:rsidRDefault="00307FFC" w:rsidP="004C1444">
      <w:pPr>
        <w:pStyle w:val="a3"/>
        <w:jc w:val="center"/>
        <w:rPr>
          <w:sz w:val="28"/>
          <w:szCs w:val="28"/>
        </w:rPr>
      </w:pPr>
      <w:r w:rsidRPr="00961BAC">
        <w:rPr>
          <w:sz w:val="28"/>
          <w:szCs w:val="28"/>
        </w:rPr>
        <w:t>Ханты-Мансийского района на 2014 – 2017 годы»</w:t>
      </w:r>
    </w:p>
    <w:p w:rsidR="00307FFC" w:rsidRPr="00961BAC" w:rsidRDefault="00307FFC" w:rsidP="004C1444">
      <w:pPr>
        <w:pStyle w:val="a3"/>
        <w:jc w:val="center"/>
        <w:rPr>
          <w:sz w:val="28"/>
          <w:szCs w:val="28"/>
        </w:rPr>
      </w:pPr>
    </w:p>
    <w:p w:rsidR="00307FFC" w:rsidRPr="00961BAC" w:rsidRDefault="00307FFC" w:rsidP="00961BAC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ab/>
        <w:t>Координатор муниципальной программы: Департамент имущественных и земельных отношений администрации Ханты-Мансийского района</w:t>
      </w:r>
    </w:p>
    <w:p w:rsidR="00307FFC" w:rsidRDefault="00307FFC" w:rsidP="00307FF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238" w:type="dxa"/>
        <w:tblLayout w:type="fixed"/>
        <w:tblLook w:val="04A0" w:firstRow="1" w:lastRow="0" w:firstColumn="1" w:lastColumn="0" w:noHBand="0" w:noVBand="1"/>
      </w:tblPr>
      <w:tblGrid>
        <w:gridCol w:w="547"/>
        <w:gridCol w:w="2859"/>
        <w:gridCol w:w="1408"/>
        <w:gridCol w:w="792"/>
        <w:gridCol w:w="772"/>
        <w:gridCol w:w="770"/>
        <w:gridCol w:w="770"/>
        <w:gridCol w:w="1320"/>
      </w:tblGrid>
      <w:tr w:rsidR="00307FFC" w:rsidRPr="002A37AF" w:rsidTr="002A37AF">
        <w:trPr>
          <w:trHeight w:val="254"/>
        </w:trPr>
        <w:tc>
          <w:tcPr>
            <w:tcW w:w="547" w:type="dxa"/>
            <w:vMerge w:val="restart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 xml:space="preserve">№ </w:t>
            </w:r>
            <w:proofErr w:type="gramStart"/>
            <w:r w:rsidRPr="002A37AF">
              <w:rPr>
                <w:rFonts w:ascii="Times New Roman" w:hAnsi="Times New Roman"/>
              </w:rPr>
              <w:t>п</w:t>
            </w:r>
            <w:proofErr w:type="gramEnd"/>
            <w:r w:rsidRPr="002A37AF">
              <w:rPr>
                <w:rFonts w:ascii="Times New Roman" w:hAnsi="Times New Roman"/>
              </w:rPr>
              <w:t>/п</w:t>
            </w:r>
          </w:p>
        </w:tc>
        <w:tc>
          <w:tcPr>
            <w:tcW w:w="2859" w:type="dxa"/>
            <w:vMerge w:val="restart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Наименование показателей результатов</w:t>
            </w:r>
          </w:p>
        </w:tc>
        <w:tc>
          <w:tcPr>
            <w:tcW w:w="1408" w:type="dxa"/>
            <w:vMerge w:val="restart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Базовый показатель на начало реализации Программы  на 01.01.2014</w:t>
            </w:r>
          </w:p>
        </w:tc>
        <w:tc>
          <w:tcPr>
            <w:tcW w:w="3104" w:type="dxa"/>
            <w:gridSpan w:val="4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1320" w:type="dxa"/>
            <w:vMerge w:val="restart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Целевое значение показателя на момент окончания действия Программы</w:t>
            </w:r>
          </w:p>
        </w:tc>
      </w:tr>
      <w:tr w:rsidR="002A37AF" w:rsidRPr="002A37AF" w:rsidTr="002A37AF">
        <w:trPr>
          <w:trHeight w:val="729"/>
        </w:trPr>
        <w:tc>
          <w:tcPr>
            <w:tcW w:w="547" w:type="dxa"/>
            <w:vMerge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9" w:type="dxa"/>
            <w:vMerge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vMerge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2014 год</w:t>
            </w:r>
          </w:p>
        </w:tc>
        <w:tc>
          <w:tcPr>
            <w:tcW w:w="772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2015 год</w:t>
            </w:r>
          </w:p>
        </w:tc>
        <w:tc>
          <w:tcPr>
            <w:tcW w:w="770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2016 год</w:t>
            </w:r>
          </w:p>
        </w:tc>
        <w:tc>
          <w:tcPr>
            <w:tcW w:w="770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2017 год</w:t>
            </w:r>
          </w:p>
        </w:tc>
        <w:tc>
          <w:tcPr>
            <w:tcW w:w="1320" w:type="dxa"/>
            <w:vMerge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</w:rPr>
            </w:pPr>
          </w:p>
        </w:tc>
      </w:tr>
      <w:tr w:rsidR="00307FFC" w:rsidRPr="002A37AF" w:rsidTr="002A37AF">
        <w:tc>
          <w:tcPr>
            <w:tcW w:w="547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1.</w:t>
            </w:r>
          </w:p>
        </w:tc>
        <w:tc>
          <w:tcPr>
            <w:tcW w:w="8691" w:type="dxa"/>
            <w:gridSpan w:val="7"/>
          </w:tcPr>
          <w:p w:rsidR="00307FFC" w:rsidRPr="002A37AF" w:rsidRDefault="00307FFC" w:rsidP="009A0BA2">
            <w:pPr>
              <w:jc w:val="both"/>
              <w:rPr>
                <w:rFonts w:ascii="Times New Roman" w:hAnsi="Times New Roman"/>
                <w:color w:val="000000"/>
              </w:rPr>
            </w:pPr>
            <w:r w:rsidRPr="002A37AF">
              <w:rPr>
                <w:rFonts w:ascii="Times New Roman" w:hAnsi="Times New Roman"/>
                <w:color w:val="000000"/>
              </w:rPr>
              <w:t>Показатели непосредственных результатов</w:t>
            </w:r>
          </w:p>
        </w:tc>
      </w:tr>
      <w:tr w:rsidR="002A37AF" w:rsidRPr="002A37AF" w:rsidTr="002A37AF">
        <w:tc>
          <w:tcPr>
            <w:tcW w:w="547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1.1.</w:t>
            </w:r>
          </w:p>
        </w:tc>
        <w:tc>
          <w:tcPr>
            <w:tcW w:w="2859" w:type="dxa"/>
          </w:tcPr>
          <w:p w:rsidR="00307FFC" w:rsidRPr="002A37AF" w:rsidRDefault="00307FFC" w:rsidP="00853291">
            <w:pPr>
              <w:rPr>
                <w:rFonts w:ascii="Times New Roman" w:hAnsi="Times New Roman"/>
                <w:color w:val="000000"/>
              </w:rPr>
            </w:pPr>
            <w:r w:rsidRPr="002A37AF">
              <w:rPr>
                <w:rFonts w:ascii="Times New Roman" w:hAnsi="Times New Roman"/>
                <w:color w:val="000000"/>
              </w:rPr>
              <w:t xml:space="preserve">Количество земельных участков  (под объектами муниципальной собственности,                  для муниципальных нужд), на которые </w:t>
            </w:r>
            <w:r w:rsidR="00853291">
              <w:rPr>
                <w:rFonts w:ascii="Times New Roman" w:hAnsi="Times New Roman"/>
                <w:color w:val="000000"/>
              </w:rPr>
              <w:t>з</w:t>
            </w:r>
            <w:r w:rsidRPr="002A37AF">
              <w:rPr>
                <w:rFonts w:ascii="Times New Roman" w:hAnsi="Times New Roman"/>
                <w:color w:val="000000"/>
              </w:rPr>
              <w:t>арегистрировано право муниципальной собственности, единиц</w:t>
            </w:r>
          </w:p>
        </w:tc>
        <w:tc>
          <w:tcPr>
            <w:tcW w:w="1408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37AF">
              <w:rPr>
                <w:rFonts w:ascii="Times New Roman" w:hAnsi="Times New Roman"/>
                <w:color w:val="000000"/>
              </w:rPr>
              <w:t>380</w:t>
            </w:r>
          </w:p>
        </w:tc>
        <w:tc>
          <w:tcPr>
            <w:tcW w:w="792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533</w:t>
            </w:r>
          </w:p>
        </w:tc>
        <w:tc>
          <w:tcPr>
            <w:tcW w:w="772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37AF">
              <w:rPr>
                <w:rFonts w:ascii="Times New Roman" w:hAnsi="Times New Roman"/>
                <w:color w:val="000000"/>
              </w:rPr>
              <w:t>578</w:t>
            </w:r>
          </w:p>
        </w:tc>
        <w:tc>
          <w:tcPr>
            <w:tcW w:w="770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37AF">
              <w:rPr>
                <w:rFonts w:ascii="Times New Roman" w:hAnsi="Times New Roman"/>
                <w:color w:val="000000"/>
              </w:rPr>
              <w:t>623</w:t>
            </w:r>
          </w:p>
        </w:tc>
        <w:tc>
          <w:tcPr>
            <w:tcW w:w="770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37AF">
              <w:rPr>
                <w:rFonts w:ascii="Times New Roman" w:hAnsi="Times New Roman"/>
                <w:color w:val="000000"/>
              </w:rPr>
              <w:t>668</w:t>
            </w:r>
          </w:p>
        </w:tc>
        <w:tc>
          <w:tcPr>
            <w:tcW w:w="1320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37AF">
              <w:rPr>
                <w:rFonts w:ascii="Times New Roman" w:hAnsi="Times New Roman"/>
                <w:color w:val="000000"/>
              </w:rPr>
              <w:t>668</w:t>
            </w:r>
          </w:p>
        </w:tc>
      </w:tr>
      <w:tr w:rsidR="002A37AF" w:rsidRPr="002A37AF" w:rsidTr="002A37AF">
        <w:tc>
          <w:tcPr>
            <w:tcW w:w="547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1.2.</w:t>
            </w:r>
          </w:p>
        </w:tc>
        <w:tc>
          <w:tcPr>
            <w:tcW w:w="2859" w:type="dxa"/>
          </w:tcPr>
          <w:p w:rsidR="00307FFC" w:rsidRPr="002A37AF" w:rsidRDefault="00307FFC" w:rsidP="009A0BA2">
            <w:pPr>
              <w:rPr>
                <w:rFonts w:ascii="Times New Roman" w:hAnsi="Times New Roman"/>
                <w:color w:val="000000"/>
              </w:rPr>
            </w:pPr>
            <w:r w:rsidRPr="002A37AF">
              <w:rPr>
                <w:rFonts w:ascii="Times New Roman" w:hAnsi="Times New Roman"/>
                <w:color w:val="000000"/>
              </w:rPr>
              <w:t xml:space="preserve">Количество граждан, зарегистрировавших право собственности на земельные участки </w:t>
            </w:r>
            <w:r w:rsidR="00561395">
              <w:rPr>
                <w:rFonts w:ascii="Times New Roman" w:hAnsi="Times New Roman"/>
                <w:color w:val="000000"/>
              </w:rPr>
              <w:t xml:space="preserve">                      </w:t>
            </w:r>
            <w:r w:rsidRPr="002A37AF">
              <w:rPr>
                <w:rFonts w:ascii="Times New Roman" w:hAnsi="Times New Roman"/>
                <w:color w:val="000000"/>
              </w:rPr>
              <w:t xml:space="preserve">в рамках реализации Федерального закона </w:t>
            </w:r>
            <w:r w:rsidR="00561395">
              <w:rPr>
                <w:rFonts w:ascii="Times New Roman" w:hAnsi="Times New Roman"/>
                <w:color w:val="000000"/>
              </w:rPr>
              <w:t xml:space="preserve">               </w:t>
            </w:r>
            <w:r w:rsidRPr="002A37AF">
              <w:rPr>
                <w:rFonts w:ascii="Times New Roman" w:hAnsi="Times New Roman"/>
                <w:color w:val="000000"/>
              </w:rPr>
              <w:t>от 30.06.2006 № 93-ФЗ «Дачная амнистия», человек</w:t>
            </w:r>
          </w:p>
        </w:tc>
        <w:tc>
          <w:tcPr>
            <w:tcW w:w="1408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37AF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792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84</w:t>
            </w:r>
          </w:p>
        </w:tc>
        <w:tc>
          <w:tcPr>
            <w:tcW w:w="772" w:type="dxa"/>
          </w:tcPr>
          <w:p w:rsidR="00307FFC" w:rsidRPr="002A37AF" w:rsidRDefault="004951C0" w:rsidP="009A0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37A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70" w:type="dxa"/>
          </w:tcPr>
          <w:p w:rsidR="00307FFC" w:rsidRPr="002A37AF" w:rsidRDefault="00307FFC" w:rsidP="004951C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37AF">
              <w:rPr>
                <w:rFonts w:ascii="Times New Roman" w:hAnsi="Times New Roman"/>
                <w:color w:val="000000"/>
              </w:rPr>
              <w:t>9</w:t>
            </w:r>
            <w:r w:rsidR="004951C0" w:rsidRPr="002A37A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70" w:type="dxa"/>
          </w:tcPr>
          <w:p w:rsidR="00307FFC" w:rsidRPr="002A37AF" w:rsidRDefault="004951C0" w:rsidP="009A0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37AF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320" w:type="dxa"/>
          </w:tcPr>
          <w:p w:rsidR="00307FFC" w:rsidRPr="002A37AF" w:rsidRDefault="004951C0" w:rsidP="009A0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37AF">
              <w:rPr>
                <w:rFonts w:ascii="Times New Roman" w:hAnsi="Times New Roman"/>
                <w:color w:val="000000"/>
              </w:rPr>
              <w:t>104</w:t>
            </w:r>
          </w:p>
        </w:tc>
      </w:tr>
      <w:tr w:rsidR="002A37AF" w:rsidRPr="002A37AF" w:rsidTr="002A37AF">
        <w:tc>
          <w:tcPr>
            <w:tcW w:w="547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1.3.</w:t>
            </w:r>
          </w:p>
        </w:tc>
        <w:tc>
          <w:tcPr>
            <w:tcW w:w="2859" w:type="dxa"/>
          </w:tcPr>
          <w:p w:rsidR="00307FFC" w:rsidRPr="002A37AF" w:rsidRDefault="00307FFC" w:rsidP="009A0BA2">
            <w:pPr>
              <w:rPr>
                <w:rFonts w:ascii="Times New Roman" w:hAnsi="Times New Roman"/>
                <w:color w:val="000000"/>
              </w:rPr>
            </w:pPr>
            <w:r w:rsidRPr="002A37AF">
              <w:rPr>
                <w:rFonts w:ascii="Times New Roman" w:hAnsi="Times New Roman"/>
                <w:color w:val="000000"/>
              </w:rPr>
              <w:t>Оценка земельных участков, находящихся                          в муниципальной собственности,                      для проведения аукционов, единиц</w:t>
            </w:r>
          </w:p>
        </w:tc>
        <w:tc>
          <w:tcPr>
            <w:tcW w:w="1408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37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92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37AF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772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37AF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770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37AF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770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37AF">
              <w:rPr>
                <w:rFonts w:ascii="Times New Roman" w:hAnsi="Times New Roman"/>
                <w:color w:val="000000"/>
              </w:rPr>
              <w:t>510</w:t>
            </w:r>
          </w:p>
        </w:tc>
        <w:tc>
          <w:tcPr>
            <w:tcW w:w="1320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  <w:color w:val="000000"/>
              </w:rPr>
            </w:pPr>
            <w:r w:rsidRPr="002A37AF">
              <w:rPr>
                <w:rFonts w:ascii="Times New Roman" w:hAnsi="Times New Roman"/>
                <w:color w:val="000000"/>
              </w:rPr>
              <w:t>510</w:t>
            </w:r>
          </w:p>
        </w:tc>
      </w:tr>
      <w:tr w:rsidR="00307FFC" w:rsidRPr="002A37AF" w:rsidTr="002A37AF">
        <w:tc>
          <w:tcPr>
            <w:tcW w:w="547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2.</w:t>
            </w:r>
          </w:p>
        </w:tc>
        <w:tc>
          <w:tcPr>
            <w:tcW w:w="7371" w:type="dxa"/>
            <w:gridSpan w:val="6"/>
          </w:tcPr>
          <w:p w:rsidR="00307FFC" w:rsidRPr="002A37AF" w:rsidRDefault="00307FFC" w:rsidP="009A0BA2">
            <w:pPr>
              <w:rPr>
                <w:rFonts w:ascii="Times New Roman" w:hAnsi="Times New Roman"/>
                <w:color w:val="000000"/>
              </w:rPr>
            </w:pPr>
            <w:r w:rsidRPr="002A37AF">
              <w:rPr>
                <w:rFonts w:ascii="Times New Roman" w:hAnsi="Times New Roman"/>
                <w:color w:val="000000"/>
              </w:rPr>
              <w:t>Показатели конечных результатов</w:t>
            </w:r>
          </w:p>
        </w:tc>
        <w:tc>
          <w:tcPr>
            <w:tcW w:w="1320" w:type="dxa"/>
          </w:tcPr>
          <w:p w:rsidR="00307FFC" w:rsidRPr="002A37AF" w:rsidRDefault="00307FFC" w:rsidP="009A0BA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7FFC" w:rsidRPr="002A37AF" w:rsidTr="002A37AF">
        <w:tc>
          <w:tcPr>
            <w:tcW w:w="547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2.1.</w:t>
            </w:r>
          </w:p>
        </w:tc>
        <w:tc>
          <w:tcPr>
            <w:tcW w:w="2859" w:type="dxa"/>
          </w:tcPr>
          <w:p w:rsidR="00307FFC" w:rsidRPr="002A37AF" w:rsidRDefault="00307FFC" w:rsidP="009A0BA2">
            <w:pPr>
              <w:rPr>
                <w:rFonts w:ascii="Times New Roman" w:hAnsi="Times New Roman"/>
                <w:color w:val="000000"/>
              </w:rPr>
            </w:pPr>
            <w:r w:rsidRPr="002A37AF">
              <w:rPr>
                <w:rFonts w:ascii="Times New Roman" w:hAnsi="Times New Roman"/>
                <w:color w:val="000000"/>
              </w:rPr>
              <w:t xml:space="preserve">Объем поступлений земельного налога, </w:t>
            </w:r>
            <w:r w:rsidR="002A37AF">
              <w:rPr>
                <w:rFonts w:ascii="Times New Roman" w:hAnsi="Times New Roman"/>
                <w:color w:val="000000"/>
              </w:rPr>
              <w:t xml:space="preserve">                 </w:t>
            </w:r>
            <w:r w:rsidRPr="002A37AF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408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2700</w:t>
            </w:r>
          </w:p>
        </w:tc>
        <w:tc>
          <w:tcPr>
            <w:tcW w:w="792" w:type="dxa"/>
          </w:tcPr>
          <w:p w:rsidR="00307FFC" w:rsidRPr="002A37AF" w:rsidRDefault="00267D86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3 355,</w:t>
            </w:r>
            <w:r w:rsidR="002A37AF">
              <w:rPr>
                <w:rFonts w:ascii="Times New Roman" w:hAnsi="Times New Roman"/>
              </w:rPr>
              <w:t xml:space="preserve"> </w:t>
            </w:r>
            <w:r w:rsidRPr="002A37AF">
              <w:rPr>
                <w:rFonts w:ascii="Times New Roman" w:hAnsi="Times New Roman"/>
              </w:rPr>
              <w:t>0</w:t>
            </w:r>
          </w:p>
        </w:tc>
        <w:tc>
          <w:tcPr>
            <w:tcW w:w="772" w:type="dxa"/>
          </w:tcPr>
          <w:p w:rsidR="00307FFC" w:rsidRPr="002A37AF" w:rsidRDefault="00267D86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5 090,0</w:t>
            </w:r>
          </w:p>
        </w:tc>
        <w:tc>
          <w:tcPr>
            <w:tcW w:w="770" w:type="dxa"/>
          </w:tcPr>
          <w:p w:rsidR="00307FFC" w:rsidRPr="002A37AF" w:rsidRDefault="00267D86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5 300,0</w:t>
            </w:r>
          </w:p>
        </w:tc>
        <w:tc>
          <w:tcPr>
            <w:tcW w:w="770" w:type="dxa"/>
          </w:tcPr>
          <w:p w:rsidR="00307FFC" w:rsidRPr="002A37AF" w:rsidRDefault="00267D86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5 486,3</w:t>
            </w:r>
          </w:p>
        </w:tc>
        <w:tc>
          <w:tcPr>
            <w:tcW w:w="1320" w:type="dxa"/>
          </w:tcPr>
          <w:p w:rsidR="00307FFC" w:rsidRPr="002A37AF" w:rsidRDefault="00267D86" w:rsidP="00267D86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5  486,3</w:t>
            </w:r>
          </w:p>
        </w:tc>
      </w:tr>
      <w:tr w:rsidR="00307FFC" w:rsidRPr="002A37AF" w:rsidTr="002A37AF">
        <w:tc>
          <w:tcPr>
            <w:tcW w:w="547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2859" w:type="dxa"/>
          </w:tcPr>
          <w:p w:rsidR="00307FFC" w:rsidRPr="002A37AF" w:rsidRDefault="00307FFC" w:rsidP="009A0BA2">
            <w:pPr>
              <w:rPr>
                <w:rFonts w:ascii="Times New Roman" w:hAnsi="Times New Roman"/>
                <w:color w:val="000000"/>
              </w:rPr>
            </w:pPr>
            <w:r w:rsidRPr="002A37AF">
              <w:rPr>
                <w:rFonts w:ascii="Times New Roman" w:hAnsi="Times New Roman"/>
                <w:color w:val="000000"/>
              </w:rPr>
              <w:t>Объем поступлений арендной платы,              тыс. рублей</w:t>
            </w:r>
          </w:p>
        </w:tc>
        <w:tc>
          <w:tcPr>
            <w:tcW w:w="1408" w:type="dxa"/>
          </w:tcPr>
          <w:p w:rsidR="00307FFC" w:rsidRPr="002A37AF" w:rsidRDefault="00307FFC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107 000</w:t>
            </w:r>
          </w:p>
        </w:tc>
        <w:tc>
          <w:tcPr>
            <w:tcW w:w="792" w:type="dxa"/>
          </w:tcPr>
          <w:p w:rsidR="00307FFC" w:rsidRPr="002A37AF" w:rsidRDefault="00132EBA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53 908</w:t>
            </w:r>
          </w:p>
        </w:tc>
        <w:tc>
          <w:tcPr>
            <w:tcW w:w="772" w:type="dxa"/>
          </w:tcPr>
          <w:p w:rsidR="00307FFC" w:rsidRPr="002A37AF" w:rsidRDefault="00132EBA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51 8</w:t>
            </w:r>
            <w:r w:rsidR="00307FFC" w:rsidRPr="002A37AF">
              <w:rPr>
                <w:rFonts w:ascii="Times New Roman" w:hAnsi="Times New Roman"/>
              </w:rPr>
              <w:t>00</w:t>
            </w:r>
          </w:p>
        </w:tc>
        <w:tc>
          <w:tcPr>
            <w:tcW w:w="770" w:type="dxa"/>
          </w:tcPr>
          <w:p w:rsidR="00307FFC" w:rsidRPr="002A37AF" w:rsidRDefault="00132EBA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51 800</w:t>
            </w:r>
          </w:p>
        </w:tc>
        <w:tc>
          <w:tcPr>
            <w:tcW w:w="770" w:type="dxa"/>
          </w:tcPr>
          <w:p w:rsidR="00307FFC" w:rsidRPr="002A37AF" w:rsidRDefault="00132EBA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51 800</w:t>
            </w:r>
          </w:p>
        </w:tc>
        <w:tc>
          <w:tcPr>
            <w:tcW w:w="1320" w:type="dxa"/>
          </w:tcPr>
          <w:p w:rsidR="00307FFC" w:rsidRPr="002A37AF" w:rsidRDefault="00132EBA" w:rsidP="009A0BA2">
            <w:pPr>
              <w:jc w:val="center"/>
              <w:rPr>
                <w:rFonts w:ascii="Times New Roman" w:hAnsi="Times New Roman"/>
              </w:rPr>
            </w:pPr>
            <w:r w:rsidRPr="002A37AF">
              <w:rPr>
                <w:rFonts w:ascii="Times New Roman" w:hAnsi="Times New Roman"/>
              </w:rPr>
              <w:t>51 800</w:t>
            </w:r>
          </w:p>
        </w:tc>
      </w:tr>
    </w:tbl>
    <w:p w:rsidR="00723361" w:rsidRPr="002A37AF" w:rsidRDefault="00723361" w:rsidP="00723361">
      <w:pPr>
        <w:rPr>
          <w:rFonts w:ascii="Times New Roman" w:hAnsi="Times New Roman"/>
        </w:rPr>
      </w:pPr>
    </w:p>
    <w:p w:rsidR="00307FFC" w:rsidRDefault="00307FFC" w:rsidP="00307FFC">
      <w:pPr>
        <w:jc w:val="right"/>
        <w:rPr>
          <w:rFonts w:ascii="Times New Roman" w:hAnsi="Times New Roman"/>
        </w:rPr>
        <w:sectPr w:rsidR="00307FFC" w:rsidSect="001B1789">
          <w:headerReference w:type="default" r:id="rId10"/>
          <w:footerReference w:type="default" r:id="rId11"/>
          <w:headerReference w:type="first" r:id="rId12"/>
          <w:pgSz w:w="11905" w:h="16838" w:code="9"/>
          <w:pgMar w:top="1418" w:right="1247" w:bottom="1077" w:left="1588" w:header="720" w:footer="431" w:gutter="0"/>
          <w:cols w:space="720"/>
          <w:titlePg/>
          <w:docGrid w:linePitch="299"/>
        </w:sectPr>
      </w:pPr>
    </w:p>
    <w:p w:rsidR="00CD415E" w:rsidRPr="00F23157" w:rsidRDefault="00CD415E" w:rsidP="00927130">
      <w:pPr>
        <w:ind w:right="-280"/>
        <w:jc w:val="right"/>
        <w:rPr>
          <w:rFonts w:ascii="Times New Roman" w:hAnsi="Times New Roman"/>
          <w:sz w:val="28"/>
          <w:szCs w:val="28"/>
        </w:rPr>
      </w:pPr>
      <w:r w:rsidRPr="00F23157">
        <w:rPr>
          <w:rFonts w:ascii="Times New Roman" w:hAnsi="Times New Roman"/>
          <w:sz w:val="28"/>
          <w:szCs w:val="28"/>
        </w:rPr>
        <w:lastRenderedPageBreak/>
        <w:t>П</w:t>
      </w:r>
      <w:r w:rsidR="00DE39A4" w:rsidRPr="00F23157">
        <w:rPr>
          <w:rFonts w:ascii="Times New Roman" w:hAnsi="Times New Roman"/>
          <w:sz w:val="28"/>
          <w:szCs w:val="28"/>
        </w:rPr>
        <w:t>риложение 2</w:t>
      </w:r>
      <w:r w:rsidR="00F23157">
        <w:rPr>
          <w:rFonts w:ascii="Times New Roman" w:hAnsi="Times New Roman"/>
          <w:sz w:val="28"/>
          <w:szCs w:val="28"/>
        </w:rPr>
        <w:t xml:space="preserve"> к Программе</w:t>
      </w:r>
    </w:p>
    <w:p w:rsidR="002A165A" w:rsidRPr="007D640D" w:rsidRDefault="00B33014" w:rsidP="007D640D">
      <w:pPr>
        <w:jc w:val="center"/>
        <w:rPr>
          <w:rFonts w:ascii="Times New Roman" w:hAnsi="Times New Roman"/>
          <w:sz w:val="28"/>
          <w:szCs w:val="28"/>
        </w:rPr>
      </w:pPr>
      <w:r w:rsidRPr="008369F1">
        <w:rPr>
          <w:rFonts w:ascii="Times New Roman" w:hAnsi="Times New Roman"/>
          <w:sz w:val="28"/>
          <w:szCs w:val="28"/>
        </w:rPr>
        <w:t xml:space="preserve">Основные программные мероприятия </w:t>
      </w:r>
    </w:p>
    <w:tbl>
      <w:tblPr>
        <w:tblStyle w:val="ac"/>
        <w:tblpPr w:leftFromText="180" w:rightFromText="180" w:vertAnchor="text" w:horzAnchor="margin" w:tblpXSpec="center" w:tblpY="359"/>
        <w:tblW w:w="15134" w:type="dxa"/>
        <w:tblLayout w:type="fixed"/>
        <w:tblLook w:val="0000" w:firstRow="0" w:lastRow="0" w:firstColumn="0" w:lastColumn="0" w:noHBand="0" w:noVBand="0"/>
      </w:tblPr>
      <w:tblGrid>
        <w:gridCol w:w="602"/>
        <w:gridCol w:w="166"/>
        <w:gridCol w:w="4443"/>
        <w:gridCol w:w="1843"/>
        <w:gridCol w:w="1418"/>
        <w:gridCol w:w="992"/>
        <w:gridCol w:w="992"/>
        <w:gridCol w:w="992"/>
        <w:gridCol w:w="955"/>
        <w:gridCol w:w="71"/>
        <w:gridCol w:w="817"/>
        <w:gridCol w:w="1843"/>
      </w:tblGrid>
      <w:tr w:rsidR="0065785A" w:rsidRPr="000743E8" w:rsidTr="0038127D">
        <w:trPr>
          <w:trHeight w:val="531"/>
        </w:trPr>
        <w:tc>
          <w:tcPr>
            <w:tcW w:w="768" w:type="dxa"/>
            <w:gridSpan w:val="2"/>
            <w:vMerge w:val="restart"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№</w:t>
            </w:r>
          </w:p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8369F1">
              <w:rPr>
                <w:sz w:val="22"/>
                <w:szCs w:val="22"/>
              </w:rPr>
              <w:t>п</w:t>
            </w:r>
            <w:proofErr w:type="gramEnd"/>
            <w:r w:rsidRPr="008369F1">
              <w:rPr>
                <w:sz w:val="22"/>
                <w:szCs w:val="22"/>
              </w:rPr>
              <w:t>/п</w:t>
            </w:r>
          </w:p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  <w:p w:rsidR="0065785A" w:rsidRPr="008369F1" w:rsidRDefault="0065785A" w:rsidP="000D515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443" w:type="dxa"/>
            <w:vMerge w:val="restart"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Мероприятия Программы</w:t>
            </w:r>
          </w:p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Муниципальный заказчик</w:t>
            </w:r>
          </w:p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  <w:p w:rsidR="0065785A" w:rsidRPr="008369F1" w:rsidRDefault="0065785A" w:rsidP="000D515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Источник</w:t>
            </w:r>
            <w:r w:rsidR="005A0478" w:rsidRPr="008369F1">
              <w:rPr>
                <w:sz w:val="22"/>
                <w:szCs w:val="22"/>
              </w:rPr>
              <w:t>и</w:t>
            </w:r>
            <w:r w:rsidRPr="008369F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369F1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  <w:p w:rsidR="0065785A" w:rsidRPr="008369F1" w:rsidRDefault="0065785A" w:rsidP="000D515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6"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Финансовые зат</w:t>
            </w:r>
            <w:r w:rsidR="005A0478" w:rsidRPr="008369F1">
              <w:rPr>
                <w:sz w:val="22"/>
                <w:szCs w:val="22"/>
              </w:rPr>
              <w:t xml:space="preserve">раты на реализацию    </w:t>
            </w:r>
            <w:r w:rsidR="00927130">
              <w:rPr>
                <w:sz w:val="22"/>
                <w:szCs w:val="22"/>
              </w:rPr>
              <w:t xml:space="preserve">                   </w:t>
            </w:r>
            <w:r w:rsidR="005A0478" w:rsidRPr="008369F1">
              <w:rPr>
                <w:sz w:val="22"/>
                <w:szCs w:val="22"/>
              </w:rPr>
              <w:t>(тыс. рублей</w:t>
            </w:r>
            <w:r w:rsidRPr="008369F1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65785A" w:rsidRPr="008369F1" w:rsidRDefault="00AF5BE1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 xml:space="preserve">Исполнители </w:t>
            </w:r>
            <w:r w:rsidR="00AC33B0">
              <w:rPr>
                <w:sz w:val="22"/>
                <w:szCs w:val="22"/>
              </w:rPr>
              <w:t>муниципальной П</w:t>
            </w:r>
            <w:r w:rsidR="0065785A" w:rsidRPr="008369F1">
              <w:rPr>
                <w:sz w:val="22"/>
                <w:szCs w:val="22"/>
              </w:rPr>
              <w:t>рограммы</w:t>
            </w:r>
          </w:p>
        </w:tc>
      </w:tr>
      <w:tr w:rsidR="0065785A" w:rsidRPr="000743E8" w:rsidTr="0038127D">
        <w:trPr>
          <w:trHeight w:val="317"/>
        </w:trPr>
        <w:tc>
          <w:tcPr>
            <w:tcW w:w="768" w:type="dxa"/>
            <w:gridSpan w:val="2"/>
            <w:vMerge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443" w:type="dxa"/>
            <w:vMerge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extDirection w:val="btLr"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extDirection w:val="btLr"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65785A" w:rsidRPr="008369F1" w:rsidRDefault="009C4A3C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в</w:t>
            </w:r>
            <w:r w:rsidR="0065785A" w:rsidRPr="008369F1">
              <w:rPr>
                <w:sz w:val="22"/>
                <w:szCs w:val="22"/>
              </w:rPr>
              <w:t>сего</w:t>
            </w:r>
          </w:p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5"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vMerge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235CF1" w:rsidRPr="000743E8" w:rsidTr="0038127D">
        <w:trPr>
          <w:trHeight w:val="515"/>
        </w:trPr>
        <w:tc>
          <w:tcPr>
            <w:tcW w:w="768" w:type="dxa"/>
            <w:gridSpan w:val="2"/>
            <w:vMerge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443" w:type="dxa"/>
            <w:vMerge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extDirection w:val="btLr"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extDirection w:val="btLr"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extDirection w:val="btLr"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2014 год</w:t>
            </w:r>
          </w:p>
        </w:tc>
        <w:tc>
          <w:tcPr>
            <w:tcW w:w="992" w:type="dxa"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2015 год</w:t>
            </w:r>
          </w:p>
        </w:tc>
        <w:tc>
          <w:tcPr>
            <w:tcW w:w="1026" w:type="dxa"/>
            <w:gridSpan w:val="2"/>
          </w:tcPr>
          <w:p w:rsidR="005A2C93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 xml:space="preserve">2016 </w:t>
            </w:r>
          </w:p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год</w:t>
            </w:r>
          </w:p>
        </w:tc>
        <w:tc>
          <w:tcPr>
            <w:tcW w:w="817" w:type="dxa"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vMerge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235CF1" w:rsidTr="0038127D">
        <w:trPr>
          <w:trHeight w:val="278"/>
        </w:trPr>
        <w:tc>
          <w:tcPr>
            <w:tcW w:w="768" w:type="dxa"/>
            <w:gridSpan w:val="2"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3" w:type="dxa"/>
          </w:tcPr>
          <w:p w:rsidR="00235CF1" w:rsidRPr="008369F1" w:rsidRDefault="00235CF1" w:rsidP="000D5150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235CF1" w:rsidRPr="008369F1" w:rsidRDefault="00235CF1" w:rsidP="000D5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235CF1" w:rsidRPr="008369F1" w:rsidRDefault="00235CF1" w:rsidP="000D5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235C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6" w:type="dxa"/>
            <w:gridSpan w:val="2"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7" w:type="dxa"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D74C6" w:rsidTr="0038127D">
        <w:trPr>
          <w:trHeight w:val="797"/>
        </w:trPr>
        <w:tc>
          <w:tcPr>
            <w:tcW w:w="15134" w:type="dxa"/>
            <w:gridSpan w:val="12"/>
          </w:tcPr>
          <w:p w:rsidR="00AD74C6" w:rsidRPr="00AD74C6" w:rsidRDefault="00AD74C6" w:rsidP="000D5150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AD74C6">
              <w:rPr>
                <w:rFonts w:ascii="Times New Roman" w:hAnsi="Times New Roman" w:cs="Times New Roman"/>
                <w:b w:val="0"/>
              </w:rPr>
              <w:t>Цель 1.  Увеличение собственной доходной базы бюджета Ханты-Мансийского района.</w:t>
            </w:r>
          </w:p>
          <w:p w:rsidR="00AD74C6" w:rsidRPr="00AD74C6" w:rsidRDefault="00AD74C6" w:rsidP="00BA5E38">
            <w:pPr>
              <w:jc w:val="both"/>
              <w:rPr>
                <w:rFonts w:ascii="Times New Roman" w:hAnsi="Times New Roman"/>
              </w:rPr>
            </w:pPr>
            <w:r w:rsidRPr="00AD74C6">
              <w:rPr>
                <w:rFonts w:ascii="Times New Roman" w:hAnsi="Times New Roman"/>
              </w:rPr>
              <w:t xml:space="preserve">Задача 1.  Разграничение государственной собственности на землю – государственная регистрация права собственности Ханты-Мансийского района 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AD74C6">
              <w:rPr>
                <w:rFonts w:ascii="Times New Roman" w:hAnsi="Times New Roman"/>
              </w:rPr>
              <w:t>и собственности сельских поселений на земельные участки.</w:t>
            </w:r>
          </w:p>
        </w:tc>
      </w:tr>
      <w:tr w:rsidR="00235CF1" w:rsidTr="0038127D">
        <w:trPr>
          <w:trHeight w:val="1118"/>
        </w:trPr>
        <w:tc>
          <w:tcPr>
            <w:tcW w:w="768" w:type="dxa"/>
            <w:gridSpan w:val="2"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4443" w:type="dxa"/>
          </w:tcPr>
          <w:p w:rsidR="00235CF1" w:rsidRPr="008369F1" w:rsidRDefault="00235CF1" w:rsidP="000D5150">
            <w:pPr>
              <w:pStyle w:val="a3"/>
              <w:rPr>
                <w:color w:val="000000"/>
                <w:sz w:val="22"/>
                <w:szCs w:val="22"/>
              </w:rPr>
            </w:pPr>
            <w:r w:rsidRPr="008369F1">
              <w:rPr>
                <w:color w:val="000000"/>
                <w:sz w:val="22"/>
                <w:szCs w:val="22"/>
              </w:rPr>
              <w:t>Проведение кадастровых работ (межевание) земельных участков   (под объектами муниципальной собственности, для муниципальных нужд и т.д.)</w:t>
            </w:r>
            <w:r>
              <w:rPr>
                <w:color w:val="000000"/>
                <w:sz w:val="22"/>
                <w:szCs w:val="22"/>
              </w:rPr>
              <w:t>, земельных участков, государственная собственность              на которые не разграничена</w:t>
            </w:r>
          </w:p>
        </w:tc>
        <w:tc>
          <w:tcPr>
            <w:tcW w:w="1843" w:type="dxa"/>
          </w:tcPr>
          <w:p w:rsidR="00235CF1" w:rsidRPr="008369F1" w:rsidRDefault="00235CF1" w:rsidP="00927130">
            <w:pPr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t xml:space="preserve">департамент имущественных </w:t>
            </w:r>
            <w:r>
              <w:rPr>
                <w:rFonts w:ascii="Times New Roman" w:hAnsi="Times New Roman"/>
              </w:rPr>
              <w:t xml:space="preserve">        </w:t>
            </w:r>
            <w:r w:rsidRPr="008369F1">
              <w:rPr>
                <w:rFonts w:ascii="Times New Roman" w:hAnsi="Times New Roman"/>
              </w:rPr>
              <w:t>и земельных отношений</w:t>
            </w:r>
          </w:p>
        </w:tc>
        <w:tc>
          <w:tcPr>
            <w:tcW w:w="1418" w:type="dxa"/>
          </w:tcPr>
          <w:p w:rsidR="00235CF1" w:rsidRPr="008369F1" w:rsidRDefault="00235CF1" w:rsidP="00927130">
            <w:pPr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t>бюджет района</w:t>
            </w:r>
          </w:p>
          <w:p w:rsidR="00235CF1" w:rsidRPr="008369F1" w:rsidRDefault="00235CF1" w:rsidP="0092713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35CF1" w:rsidRPr="004951C0" w:rsidRDefault="00815E03" w:rsidP="004951C0">
            <w:pPr>
              <w:pStyle w:val="a3"/>
              <w:jc w:val="center"/>
              <w:rPr>
                <w:sz w:val="22"/>
                <w:szCs w:val="22"/>
              </w:rPr>
            </w:pPr>
            <w:r w:rsidRPr="004951C0">
              <w:rPr>
                <w:sz w:val="22"/>
                <w:szCs w:val="22"/>
              </w:rPr>
              <w:t xml:space="preserve">8 </w:t>
            </w:r>
            <w:r w:rsidR="004951C0" w:rsidRPr="004951C0">
              <w:rPr>
                <w:sz w:val="22"/>
                <w:szCs w:val="22"/>
              </w:rPr>
              <w:t>65</w:t>
            </w:r>
            <w:r w:rsidRPr="004951C0">
              <w:rPr>
                <w:sz w:val="22"/>
                <w:szCs w:val="22"/>
              </w:rPr>
              <w:t>0</w:t>
            </w:r>
            <w:r w:rsidR="00235CF1" w:rsidRPr="004951C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35CF1" w:rsidRPr="0072336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723361">
              <w:rPr>
                <w:sz w:val="22"/>
                <w:szCs w:val="22"/>
              </w:rPr>
              <w:t>4 750,0</w:t>
            </w:r>
          </w:p>
        </w:tc>
        <w:tc>
          <w:tcPr>
            <w:tcW w:w="992" w:type="dxa"/>
          </w:tcPr>
          <w:p w:rsidR="00235CF1" w:rsidRPr="008369F1" w:rsidRDefault="00235CF1" w:rsidP="004951C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4951C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55" w:type="dxa"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1 350,0</w:t>
            </w:r>
          </w:p>
        </w:tc>
        <w:tc>
          <w:tcPr>
            <w:tcW w:w="888" w:type="dxa"/>
            <w:gridSpan w:val="2"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1 350,0</w:t>
            </w:r>
          </w:p>
        </w:tc>
        <w:tc>
          <w:tcPr>
            <w:tcW w:w="1843" w:type="dxa"/>
            <w:vMerge w:val="restart"/>
          </w:tcPr>
          <w:p w:rsidR="00235CF1" w:rsidRPr="008369F1" w:rsidRDefault="00235CF1" w:rsidP="00927130">
            <w:pPr>
              <w:pStyle w:val="a3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департамент имущественных и земельных отношений</w:t>
            </w:r>
          </w:p>
        </w:tc>
      </w:tr>
      <w:tr w:rsidR="00235CF1" w:rsidRPr="00E66B95" w:rsidTr="0038127D">
        <w:trPr>
          <w:trHeight w:val="200"/>
        </w:trPr>
        <w:tc>
          <w:tcPr>
            <w:tcW w:w="768" w:type="dxa"/>
            <w:gridSpan w:val="2"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8369F1">
              <w:rPr>
                <w:sz w:val="22"/>
                <w:szCs w:val="22"/>
              </w:rPr>
              <w:t>2.</w:t>
            </w:r>
          </w:p>
        </w:tc>
        <w:tc>
          <w:tcPr>
            <w:tcW w:w="4443" w:type="dxa"/>
          </w:tcPr>
          <w:p w:rsidR="00235CF1" w:rsidRPr="008369F1" w:rsidRDefault="00235CF1" w:rsidP="000D5150">
            <w:pPr>
              <w:pStyle w:val="a3"/>
              <w:rPr>
                <w:color w:val="000000"/>
                <w:sz w:val="22"/>
                <w:szCs w:val="22"/>
              </w:rPr>
            </w:pPr>
            <w:r w:rsidRPr="008369F1">
              <w:rPr>
                <w:color w:val="000000"/>
                <w:sz w:val="22"/>
                <w:szCs w:val="22"/>
              </w:rPr>
              <w:t xml:space="preserve">Проведение кадастровых работ (межевание) земельных участков   </w:t>
            </w:r>
            <w:r>
              <w:rPr>
                <w:color w:val="000000"/>
                <w:sz w:val="22"/>
                <w:szCs w:val="22"/>
              </w:rPr>
              <w:t>для содействия                    в оформлении в упрощенном порядке прав граждан на земельные участки</w:t>
            </w:r>
          </w:p>
        </w:tc>
        <w:tc>
          <w:tcPr>
            <w:tcW w:w="1843" w:type="dxa"/>
          </w:tcPr>
          <w:p w:rsidR="00235CF1" w:rsidRPr="008369F1" w:rsidRDefault="00235CF1" w:rsidP="00927130">
            <w:pPr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t xml:space="preserve">департамент имущественных </w:t>
            </w:r>
            <w:r>
              <w:rPr>
                <w:rFonts w:ascii="Times New Roman" w:hAnsi="Times New Roman"/>
              </w:rPr>
              <w:t xml:space="preserve">         </w:t>
            </w:r>
            <w:r w:rsidRPr="008369F1">
              <w:rPr>
                <w:rFonts w:ascii="Times New Roman" w:hAnsi="Times New Roman"/>
              </w:rPr>
              <w:t>и земельных отношений</w:t>
            </w:r>
          </w:p>
        </w:tc>
        <w:tc>
          <w:tcPr>
            <w:tcW w:w="1418" w:type="dxa"/>
          </w:tcPr>
          <w:p w:rsidR="00235CF1" w:rsidRPr="008369F1" w:rsidRDefault="00235CF1" w:rsidP="00927130">
            <w:pPr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t>бюджет района</w:t>
            </w:r>
          </w:p>
          <w:p w:rsidR="00235CF1" w:rsidRPr="008369F1" w:rsidRDefault="00235CF1" w:rsidP="0092713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35CF1" w:rsidRPr="004951C0" w:rsidRDefault="00815E03" w:rsidP="004951C0">
            <w:pPr>
              <w:pStyle w:val="a3"/>
              <w:jc w:val="center"/>
              <w:rPr>
                <w:sz w:val="22"/>
                <w:szCs w:val="22"/>
              </w:rPr>
            </w:pPr>
            <w:r w:rsidRPr="004951C0">
              <w:rPr>
                <w:sz w:val="22"/>
                <w:szCs w:val="22"/>
              </w:rPr>
              <w:t>3</w:t>
            </w:r>
            <w:r w:rsidR="004951C0" w:rsidRPr="004951C0">
              <w:rPr>
                <w:sz w:val="22"/>
                <w:szCs w:val="22"/>
              </w:rPr>
              <w:t>5</w:t>
            </w:r>
            <w:r w:rsidRPr="004951C0">
              <w:rPr>
                <w:sz w:val="22"/>
                <w:szCs w:val="22"/>
              </w:rPr>
              <w:t>0</w:t>
            </w:r>
            <w:r w:rsidR="00235CF1" w:rsidRPr="004951C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35CF1" w:rsidRPr="0072336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723361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235CF1" w:rsidRPr="008369F1" w:rsidRDefault="004951C0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35CF1">
              <w:rPr>
                <w:sz w:val="22"/>
                <w:szCs w:val="22"/>
              </w:rPr>
              <w:t>0,0</w:t>
            </w:r>
          </w:p>
        </w:tc>
        <w:tc>
          <w:tcPr>
            <w:tcW w:w="955" w:type="dxa"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</w:t>
            </w:r>
            <w:r w:rsidRPr="008369F1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  <w:gridSpan w:val="2"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  <w:vMerge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235CF1" w:rsidRPr="00E66B95" w:rsidTr="0038127D">
        <w:trPr>
          <w:trHeight w:val="516"/>
        </w:trPr>
        <w:tc>
          <w:tcPr>
            <w:tcW w:w="7054" w:type="dxa"/>
            <w:gridSpan w:val="4"/>
          </w:tcPr>
          <w:p w:rsidR="00235CF1" w:rsidRPr="008369F1" w:rsidRDefault="00235CF1" w:rsidP="009271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1</w:t>
            </w:r>
          </w:p>
        </w:tc>
        <w:tc>
          <w:tcPr>
            <w:tcW w:w="1418" w:type="dxa"/>
          </w:tcPr>
          <w:p w:rsidR="00235CF1" w:rsidRPr="008369F1" w:rsidRDefault="00235CF1" w:rsidP="00927130">
            <w:pPr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t xml:space="preserve">бюджет </w:t>
            </w: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992" w:type="dxa"/>
          </w:tcPr>
          <w:p w:rsidR="00235CF1" w:rsidRPr="004951C0" w:rsidRDefault="00815E03" w:rsidP="004951C0">
            <w:pPr>
              <w:pStyle w:val="a3"/>
              <w:jc w:val="center"/>
              <w:rPr>
                <w:sz w:val="22"/>
                <w:szCs w:val="22"/>
              </w:rPr>
            </w:pPr>
            <w:r w:rsidRPr="004951C0">
              <w:rPr>
                <w:sz w:val="22"/>
                <w:szCs w:val="22"/>
              </w:rPr>
              <w:t xml:space="preserve">9 </w:t>
            </w:r>
            <w:r w:rsidR="004951C0" w:rsidRPr="004951C0">
              <w:rPr>
                <w:sz w:val="22"/>
                <w:szCs w:val="22"/>
              </w:rPr>
              <w:t>0</w:t>
            </w:r>
            <w:r w:rsidRPr="004951C0">
              <w:rPr>
                <w:sz w:val="22"/>
                <w:szCs w:val="22"/>
              </w:rPr>
              <w:t>00</w:t>
            </w:r>
            <w:r w:rsidR="00235CF1" w:rsidRPr="004951C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35CF1" w:rsidRPr="0072336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723361">
              <w:rPr>
                <w:sz w:val="22"/>
                <w:szCs w:val="22"/>
              </w:rPr>
              <w:t>4900,0</w:t>
            </w:r>
          </w:p>
        </w:tc>
        <w:tc>
          <w:tcPr>
            <w:tcW w:w="992" w:type="dxa"/>
          </w:tcPr>
          <w:p w:rsidR="00235CF1" w:rsidRPr="008369F1" w:rsidRDefault="00235CF1" w:rsidP="004951C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4951C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00,0</w:t>
            </w:r>
          </w:p>
        </w:tc>
        <w:tc>
          <w:tcPr>
            <w:tcW w:w="955" w:type="dxa"/>
          </w:tcPr>
          <w:p w:rsidR="00235CF1" w:rsidRPr="008369F1" w:rsidRDefault="00235CF1" w:rsidP="00235CF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1 400,</w:t>
            </w:r>
            <w:r w:rsidRPr="008369F1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  <w:gridSpan w:val="2"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1 400,0</w:t>
            </w:r>
          </w:p>
        </w:tc>
        <w:tc>
          <w:tcPr>
            <w:tcW w:w="1843" w:type="dxa"/>
            <w:vMerge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0D5150" w:rsidRPr="00E66B95" w:rsidTr="0038127D">
        <w:trPr>
          <w:trHeight w:val="200"/>
        </w:trPr>
        <w:tc>
          <w:tcPr>
            <w:tcW w:w="15134" w:type="dxa"/>
            <w:gridSpan w:val="12"/>
          </w:tcPr>
          <w:p w:rsidR="000D5150" w:rsidRPr="00723361" w:rsidRDefault="000D5150" w:rsidP="00BA5E38">
            <w:pPr>
              <w:pStyle w:val="a3"/>
              <w:jc w:val="both"/>
              <w:rPr>
                <w:sz w:val="22"/>
                <w:szCs w:val="22"/>
              </w:rPr>
            </w:pPr>
            <w:r w:rsidRPr="00723361">
              <w:rPr>
                <w:sz w:val="22"/>
                <w:szCs w:val="22"/>
              </w:rPr>
              <w:t xml:space="preserve">Цель 2. </w:t>
            </w:r>
            <w:r w:rsidRPr="00723361">
              <w:rPr>
                <w:sz w:val="28"/>
                <w:szCs w:val="28"/>
              </w:rPr>
              <w:t xml:space="preserve"> </w:t>
            </w:r>
            <w:r w:rsidRPr="00723361">
              <w:rPr>
                <w:sz w:val="22"/>
                <w:szCs w:val="22"/>
              </w:rPr>
              <w:t>Формирование на территории Ханты-Мансийского района возможности беспрепятственного предоставления земельных участков для целей строительства и для целей, не связанных со строительством.</w:t>
            </w:r>
          </w:p>
        </w:tc>
      </w:tr>
      <w:tr w:rsidR="000D5150" w:rsidRPr="00E66B95" w:rsidTr="0038127D">
        <w:trPr>
          <w:trHeight w:val="200"/>
        </w:trPr>
        <w:tc>
          <w:tcPr>
            <w:tcW w:w="15134" w:type="dxa"/>
            <w:gridSpan w:val="12"/>
          </w:tcPr>
          <w:p w:rsidR="000D5150" w:rsidRPr="00723361" w:rsidRDefault="000D5150" w:rsidP="00BA5E38">
            <w:pPr>
              <w:pStyle w:val="a3"/>
              <w:jc w:val="both"/>
              <w:rPr>
                <w:sz w:val="22"/>
                <w:szCs w:val="22"/>
              </w:rPr>
            </w:pPr>
            <w:r w:rsidRPr="00723361">
              <w:rPr>
                <w:sz w:val="22"/>
                <w:szCs w:val="22"/>
              </w:rPr>
              <w:t>Задача 1. Проведение землеустроительных и кадастровых работ, работ по корректировке (актуализации) топографической съемки, работ по оценке земельных участков.</w:t>
            </w:r>
          </w:p>
        </w:tc>
      </w:tr>
      <w:tr w:rsidR="00235CF1" w:rsidRPr="00E66B95" w:rsidTr="005A2C93">
        <w:trPr>
          <w:trHeight w:val="995"/>
        </w:trPr>
        <w:tc>
          <w:tcPr>
            <w:tcW w:w="602" w:type="dxa"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369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4609" w:type="dxa"/>
            <w:gridSpan w:val="2"/>
            <w:tcBorders>
              <w:right w:val="single" w:sz="4" w:space="0" w:color="auto"/>
            </w:tcBorders>
          </w:tcPr>
          <w:p w:rsidR="00235CF1" w:rsidRPr="008369F1" w:rsidRDefault="00235CF1" w:rsidP="000D5150">
            <w:pPr>
              <w:pStyle w:val="a3"/>
              <w:rPr>
                <w:sz w:val="22"/>
                <w:szCs w:val="22"/>
              </w:rPr>
            </w:pPr>
            <w:r w:rsidRPr="008369F1">
              <w:rPr>
                <w:color w:val="000000"/>
                <w:sz w:val="22"/>
                <w:szCs w:val="22"/>
              </w:rPr>
              <w:t>Корректировка топографической съемки  населенных пунктов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F1" w:rsidRPr="008369F1" w:rsidRDefault="00235CF1" w:rsidP="00927130">
            <w:pPr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t xml:space="preserve">департамент имущественных </w:t>
            </w:r>
            <w:r>
              <w:rPr>
                <w:rFonts w:ascii="Times New Roman" w:hAnsi="Times New Roman"/>
              </w:rPr>
              <w:t xml:space="preserve">          </w:t>
            </w:r>
            <w:r w:rsidRPr="008369F1">
              <w:rPr>
                <w:rFonts w:ascii="Times New Roman" w:hAnsi="Times New Roman"/>
              </w:rPr>
              <w:t xml:space="preserve">и земельных отношений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F1" w:rsidRPr="008369F1" w:rsidRDefault="00235CF1" w:rsidP="00927130">
            <w:pPr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t>бюджет района</w:t>
            </w:r>
          </w:p>
          <w:p w:rsidR="00235CF1" w:rsidRPr="008369F1" w:rsidRDefault="00235CF1" w:rsidP="0092713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F1" w:rsidRPr="0072336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723361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F1" w:rsidRPr="0072336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723361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F1" w:rsidRPr="008369F1" w:rsidRDefault="00235CF1" w:rsidP="00927130">
            <w:pPr>
              <w:pStyle w:val="a3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департамент имущественных и земельных отношений</w:t>
            </w:r>
          </w:p>
        </w:tc>
      </w:tr>
      <w:tr w:rsidR="00235CF1" w:rsidRPr="00E66B95" w:rsidTr="005A2C93">
        <w:trPr>
          <w:trHeight w:val="200"/>
        </w:trPr>
        <w:tc>
          <w:tcPr>
            <w:tcW w:w="602" w:type="dxa"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  <w:r w:rsidRPr="008369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09" w:type="dxa"/>
            <w:gridSpan w:val="2"/>
            <w:tcBorders>
              <w:right w:val="single" w:sz="4" w:space="0" w:color="auto"/>
            </w:tcBorders>
          </w:tcPr>
          <w:p w:rsidR="00235CF1" w:rsidRPr="008369F1" w:rsidRDefault="00235CF1" w:rsidP="000D5150">
            <w:pPr>
              <w:pStyle w:val="a3"/>
              <w:rPr>
                <w:sz w:val="22"/>
                <w:szCs w:val="22"/>
              </w:rPr>
            </w:pPr>
            <w:r w:rsidRPr="008369F1">
              <w:rPr>
                <w:color w:val="000000"/>
                <w:sz w:val="22"/>
                <w:szCs w:val="22"/>
              </w:rPr>
              <w:t xml:space="preserve">Оценка земельных участков, находящихся </w:t>
            </w: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8369F1">
              <w:rPr>
                <w:color w:val="000000"/>
                <w:sz w:val="22"/>
                <w:szCs w:val="22"/>
              </w:rPr>
              <w:t xml:space="preserve">в муниципальной собственности, </w:t>
            </w:r>
            <w:r>
              <w:rPr>
                <w:color w:val="000000"/>
                <w:sz w:val="22"/>
                <w:szCs w:val="22"/>
              </w:rPr>
              <w:t xml:space="preserve">                         </w:t>
            </w:r>
            <w:r w:rsidRPr="008369F1">
              <w:rPr>
                <w:color w:val="000000"/>
                <w:sz w:val="22"/>
                <w:szCs w:val="22"/>
              </w:rPr>
              <w:lastRenderedPageBreak/>
              <w:t>для проведения аукционов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F1" w:rsidRPr="008369F1" w:rsidRDefault="00235CF1" w:rsidP="00927130">
            <w:pPr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lastRenderedPageBreak/>
              <w:t xml:space="preserve">департамент имущественных </w:t>
            </w:r>
            <w:r>
              <w:rPr>
                <w:rFonts w:ascii="Times New Roman" w:hAnsi="Times New Roman"/>
              </w:rPr>
              <w:t xml:space="preserve">     </w:t>
            </w:r>
            <w:r w:rsidRPr="008369F1">
              <w:rPr>
                <w:rFonts w:ascii="Times New Roman" w:hAnsi="Times New Roman"/>
              </w:rPr>
              <w:lastRenderedPageBreak/>
              <w:t xml:space="preserve">и земельных отношений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F1" w:rsidRPr="008369F1" w:rsidRDefault="00235CF1" w:rsidP="00927130">
            <w:pPr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lastRenderedPageBreak/>
              <w:t>бюджет района</w:t>
            </w:r>
          </w:p>
          <w:p w:rsidR="00235CF1" w:rsidRPr="008369F1" w:rsidRDefault="00235CF1" w:rsidP="0092713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F1" w:rsidRPr="00723361" w:rsidRDefault="00815E03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723361">
              <w:rPr>
                <w:sz w:val="22"/>
                <w:szCs w:val="22"/>
              </w:rPr>
              <w:lastRenderedPageBreak/>
              <w:t>500</w:t>
            </w:r>
            <w:r w:rsidR="00235CF1" w:rsidRPr="00723361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F1" w:rsidRPr="0072336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723361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F1" w:rsidRPr="008369F1" w:rsidRDefault="00235CF1" w:rsidP="00927130">
            <w:pPr>
              <w:pStyle w:val="a3"/>
              <w:rPr>
                <w:sz w:val="22"/>
                <w:szCs w:val="22"/>
              </w:rPr>
            </w:pPr>
          </w:p>
        </w:tc>
      </w:tr>
      <w:tr w:rsidR="00235CF1" w:rsidRPr="00E66B95" w:rsidTr="005A2C93">
        <w:trPr>
          <w:trHeight w:val="200"/>
        </w:trPr>
        <w:tc>
          <w:tcPr>
            <w:tcW w:w="602" w:type="dxa"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4609" w:type="dxa"/>
            <w:gridSpan w:val="2"/>
          </w:tcPr>
          <w:p w:rsidR="00235CF1" w:rsidRPr="008369F1" w:rsidRDefault="00235CF1" w:rsidP="000D5150">
            <w:pPr>
              <w:pStyle w:val="a3"/>
              <w:rPr>
                <w:color w:val="000000"/>
                <w:sz w:val="22"/>
                <w:szCs w:val="22"/>
              </w:rPr>
            </w:pPr>
            <w:r w:rsidRPr="008369F1">
              <w:rPr>
                <w:color w:val="000000"/>
                <w:sz w:val="22"/>
                <w:szCs w:val="22"/>
              </w:rPr>
              <w:t xml:space="preserve">Приобретение программного обеспечения ГИС </w:t>
            </w:r>
            <w:proofErr w:type="spellStart"/>
            <w:r w:rsidRPr="008369F1">
              <w:rPr>
                <w:color w:val="000000"/>
                <w:sz w:val="22"/>
                <w:szCs w:val="22"/>
              </w:rPr>
              <w:t>Mapifo</w:t>
            </w:r>
            <w:proofErr w:type="spellEnd"/>
            <w:r w:rsidRPr="008369F1">
              <w:rPr>
                <w:color w:val="000000"/>
                <w:sz w:val="22"/>
                <w:szCs w:val="22"/>
              </w:rPr>
              <w:t xml:space="preserve">, Кадастровый офис, приборов </w:t>
            </w:r>
            <w:r>
              <w:rPr>
                <w:color w:val="000000"/>
                <w:sz w:val="22"/>
                <w:szCs w:val="22"/>
              </w:rPr>
              <w:t xml:space="preserve">                          и оборудования, необходимых</w:t>
            </w:r>
            <w:r w:rsidRPr="008369F1">
              <w:rPr>
                <w:color w:val="000000"/>
                <w:sz w:val="22"/>
                <w:szCs w:val="22"/>
              </w:rPr>
              <w:t xml:space="preserve"> для обеспечения определения координат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35CF1" w:rsidRPr="008369F1" w:rsidRDefault="00235CF1" w:rsidP="00927130">
            <w:pPr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t xml:space="preserve">департамент имущественных </w:t>
            </w:r>
            <w:r>
              <w:rPr>
                <w:rFonts w:ascii="Times New Roman" w:hAnsi="Times New Roman"/>
              </w:rPr>
              <w:t xml:space="preserve">       </w:t>
            </w:r>
            <w:r w:rsidRPr="008369F1">
              <w:rPr>
                <w:rFonts w:ascii="Times New Roman" w:hAnsi="Times New Roman"/>
              </w:rPr>
              <w:t xml:space="preserve">и земельных отношений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5CF1" w:rsidRPr="008369F1" w:rsidRDefault="00235CF1" w:rsidP="00927130">
            <w:pPr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t>бюджет района</w:t>
            </w:r>
          </w:p>
          <w:p w:rsidR="00235CF1" w:rsidRPr="008369F1" w:rsidRDefault="00235CF1" w:rsidP="0092713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5CF1" w:rsidRPr="00723361" w:rsidRDefault="004951C0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235CF1" w:rsidRPr="00723361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5CF1" w:rsidRPr="0072336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723361">
              <w:rPr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5CF1" w:rsidRPr="008369F1" w:rsidRDefault="004951C0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</w:tcBorders>
          </w:tcPr>
          <w:p w:rsidR="00235CF1" w:rsidRPr="008369F1" w:rsidRDefault="00066653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235CF1" w:rsidRPr="008369F1" w:rsidRDefault="00235CF1" w:rsidP="00927130">
            <w:pPr>
              <w:pStyle w:val="a3"/>
              <w:rPr>
                <w:sz w:val="22"/>
                <w:szCs w:val="22"/>
              </w:rPr>
            </w:pPr>
          </w:p>
        </w:tc>
      </w:tr>
      <w:tr w:rsidR="00235CF1" w:rsidRPr="00E66B95" w:rsidTr="0038127D">
        <w:trPr>
          <w:trHeight w:val="421"/>
        </w:trPr>
        <w:tc>
          <w:tcPr>
            <w:tcW w:w="7054" w:type="dxa"/>
            <w:gridSpan w:val="4"/>
          </w:tcPr>
          <w:p w:rsidR="00235CF1" w:rsidRPr="008369F1" w:rsidRDefault="00235CF1" w:rsidP="000D515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задаче 1</w:t>
            </w:r>
          </w:p>
        </w:tc>
        <w:tc>
          <w:tcPr>
            <w:tcW w:w="1418" w:type="dxa"/>
          </w:tcPr>
          <w:p w:rsidR="00235CF1" w:rsidRPr="008369F1" w:rsidRDefault="00235CF1" w:rsidP="00927130">
            <w:pPr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2" w:type="dxa"/>
          </w:tcPr>
          <w:p w:rsidR="00235CF1" w:rsidRPr="00723361" w:rsidRDefault="00A9649D" w:rsidP="004951C0">
            <w:pPr>
              <w:pStyle w:val="a3"/>
              <w:jc w:val="center"/>
              <w:rPr>
                <w:sz w:val="22"/>
                <w:szCs w:val="22"/>
              </w:rPr>
            </w:pPr>
            <w:r w:rsidRPr="00723361">
              <w:rPr>
                <w:sz w:val="22"/>
                <w:szCs w:val="22"/>
              </w:rPr>
              <w:t xml:space="preserve">2 </w:t>
            </w:r>
            <w:r w:rsidR="004951C0">
              <w:rPr>
                <w:sz w:val="22"/>
                <w:szCs w:val="22"/>
              </w:rPr>
              <w:t>5</w:t>
            </w:r>
            <w:r w:rsidR="007A53D7" w:rsidRPr="00723361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</w:tcPr>
          <w:p w:rsidR="00235CF1" w:rsidRPr="00723361" w:rsidRDefault="00A9649D" w:rsidP="00CD671B">
            <w:pPr>
              <w:pStyle w:val="a3"/>
              <w:jc w:val="center"/>
              <w:rPr>
                <w:sz w:val="22"/>
                <w:szCs w:val="22"/>
              </w:rPr>
            </w:pPr>
            <w:r w:rsidRPr="00723361">
              <w:rPr>
                <w:sz w:val="22"/>
                <w:szCs w:val="22"/>
              </w:rPr>
              <w:t>2</w:t>
            </w:r>
            <w:r w:rsidR="00CD671B">
              <w:rPr>
                <w:sz w:val="22"/>
                <w:szCs w:val="22"/>
              </w:rPr>
              <w:t>1</w:t>
            </w:r>
            <w:r w:rsidR="007A53D7" w:rsidRPr="00723361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</w:tcPr>
          <w:p w:rsidR="00235CF1" w:rsidRPr="008369F1" w:rsidRDefault="00066653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55" w:type="dxa"/>
          </w:tcPr>
          <w:p w:rsidR="00235CF1" w:rsidRPr="008369F1" w:rsidRDefault="00066653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88" w:type="dxa"/>
            <w:gridSpan w:val="2"/>
          </w:tcPr>
          <w:p w:rsidR="00235CF1" w:rsidRPr="008369F1" w:rsidRDefault="00066653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:rsidR="00235CF1" w:rsidRPr="008369F1" w:rsidRDefault="00235CF1" w:rsidP="00927130">
            <w:pPr>
              <w:pStyle w:val="a3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департамент имущественных и земельных отношений</w:t>
            </w:r>
          </w:p>
        </w:tc>
      </w:tr>
      <w:tr w:rsidR="00235CF1" w:rsidRPr="00E66B95" w:rsidTr="0038127D">
        <w:trPr>
          <w:trHeight w:val="558"/>
        </w:trPr>
        <w:tc>
          <w:tcPr>
            <w:tcW w:w="5211" w:type="dxa"/>
            <w:gridSpan w:val="3"/>
          </w:tcPr>
          <w:p w:rsidR="00235CF1" w:rsidRPr="008369F1" w:rsidRDefault="00235CF1" w:rsidP="000D5150">
            <w:pPr>
              <w:pStyle w:val="a3"/>
              <w:jc w:val="both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1843" w:type="dxa"/>
          </w:tcPr>
          <w:p w:rsidR="00235CF1" w:rsidRPr="008369F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35CF1" w:rsidRPr="008369F1" w:rsidRDefault="00235CF1" w:rsidP="00927130">
            <w:pPr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2" w:type="dxa"/>
          </w:tcPr>
          <w:p w:rsidR="00235CF1" w:rsidRPr="00723361" w:rsidRDefault="00815E03" w:rsidP="00815E03">
            <w:pPr>
              <w:pStyle w:val="a3"/>
              <w:jc w:val="center"/>
              <w:rPr>
                <w:sz w:val="22"/>
                <w:szCs w:val="22"/>
              </w:rPr>
            </w:pPr>
            <w:r w:rsidRPr="00723361">
              <w:rPr>
                <w:sz w:val="22"/>
                <w:szCs w:val="22"/>
              </w:rPr>
              <w:t>11</w:t>
            </w:r>
            <w:r w:rsidR="00235CF1" w:rsidRPr="00723361">
              <w:rPr>
                <w:sz w:val="22"/>
                <w:szCs w:val="22"/>
              </w:rPr>
              <w:t> </w:t>
            </w:r>
            <w:r w:rsidRPr="00723361">
              <w:rPr>
                <w:sz w:val="22"/>
                <w:szCs w:val="22"/>
              </w:rPr>
              <w:t>5</w:t>
            </w:r>
            <w:r w:rsidR="00235CF1" w:rsidRPr="00723361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</w:tcPr>
          <w:p w:rsidR="00235CF1" w:rsidRPr="00723361" w:rsidRDefault="00235CF1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723361">
              <w:rPr>
                <w:sz w:val="22"/>
                <w:szCs w:val="22"/>
              </w:rPr>
              <w:t>7 000,0</w:t>
            </w:r>
          </w:p>
        </w:tc>
        <w:tc>
          <w:tcPr>
            <w:tcW w:w="992" w:type="dxa"/>
          </w:tcPr>
          <w:p w:rsidR="00235CF1" w:rsidRPr="008369F1" w:rsidRDefault="00815E03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  <w:tc>
          <w:tcPr>
            <w:tcW w:w="955" w:type="dxa"/>
          </w:tcPr>
          <w:p w:rsidR="00235CF1" w:rsidRPr="008369F1" w:rsidRDefault="00815E03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  <w:tc>
          <w:tcPr>
            <w:tcW w:w="888" w:type="dxa"/>
            <w:gridSpan w:val="2"/>
          </w:tcPr>
          <w:p w:rsidR="00235CF1" w:rsidRPr="008369F1" w:rsidRDefault="00815E03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  <w:tc>
          <w:tcPr>
            <w:tcW w:w="1843" w:type="dxa"/>
          </w:tcPr>
          <w:p w:rsidR="00235CF1" w:rsidRPr="008369F1" w:rsidRDefault="00235CF1" w:rsidP="00927130">
            <w:pPr>
              <w:pStyle w:val="a3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департамент имущественных и земельных отношений</w:t>
            </w:r>
          </w:p>
        </w:tc>
      </w:tr>
    </w:tbl>
    <w:p w:rsidR="00CB16BF" w:rsidRPr="00521872" w:rsidRDefault="00B75B36" w:rsidP="00927130">
      <w:pPr>
        <w:ind w:right="-2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927130">
        <w:rPr>
          <w:rFonts w:ascii="Times New Roman" w:hAnsi="Times New Roman"/>
          <w:sz w:val="28"/>
          <w:szCs w:val="28"/>
        </w:rPr>
        <w:t>.</w:t>
      </w:r>
    </w:p>
    <w:sectPr w:rsidR="00CB16BF" w:rsidRPr="00521872" w:rsidSect="00927130">
      <w:headerReference w:type="default" r:id="rId13"/>
      <w:footerReference w:type="default" r:id="rId14"/>
      <w:headerReference w:type="first" r:id="rId15"/>
      <w:pgSz w:w="16838" w:h="11905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6EC" w:rsidRDefault="008436EC" w:rsidP="00B7030D">
      <w:r>
        <w:separator/>
      </w:r>
    </w:p>
  </w:endnote>
  <w:endnote w:type="continuationSeparator" w:id="0">
    <w:p w:rsidR="008436EC" w:rsidRDefault="008436EC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FFC" w:rsidRDefault="00307FFC" w:rsidP="00667DAB">
    <w:pPr>
      <w:pStyle w:val="aa"/>
    </w:pPr>
  </w:p>
  <w:p w:rsidR="00307FFC" w:rsidRDefault="00307FF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AA" w:rsidRDefault="00FB56AA" w:rsidP="00667DAB">
    <w:pPr>
      <w:pStyle w:val="aa"/>
    </w:pPr>
  </w:p>
  <w:p w:rsidR="00FB56AA" w:rsidRDefault="00FB56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6EC" w:rsidRDefault="008436EC" w:rsidP="00B7030D">
      <w:r>
        <w:separator/>
      </w:r>
    </w:p>
  </w:footnote>
  <w:footnote w:type="continuationSeparator" w:id="0">
    <w:p w:rsidR="008436EC" w:rsidRDefault="008436EC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31972"/>
      <w:docPartObj>
        <w:docPartGallery w:val="Page Numbers (Top of Page)"/>
        <w:docPartUnique/>
      </w:docPartObj>
    </w:sdtPr>
    <w:sdtEndPr/>
    <w:sdtContent>
      <w:p w:rsidR="00307FFC" w:rsidRDefault="00C66D5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3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07FFC" w:rsidRDefault="00307F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31973"/>
      <w:docPartObj>
        <w:docPartGallery w:val="Page Numbers (Top of Page)"/>
        <w:docPartUnique/>
      </w:docPartObj>
    </w:sdtPr>
    <w:sdtEndPr/>
    <w:sdtContent>
      <w:p w:rsidR="00307FFC" w:rsidRDefault="00C66D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36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07FFC" w:rsidRDefault="00307FF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928001"/>
      <w:docPartObj>
        <w:docPartGallery w:val="Page Numbers (Top of Page)"/>
        <w:docPartUnique/>
      </w:docPartObj>
    </w:sdtPr>
    <w:sdtEndPr/>
    <w:sdtContent>
      <w:p w:rsidR="00FB56AA" w:rsidRDefault="00C66D5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36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B56AA" w:rsidRDefault="00FB56AA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905739"/>
      <w:docPartObj>
        <w:docPartGallery w:val="Page Numbers (Top of Page)"/>
        <w:docPartUnique/>
      </w:docPartObj>
    </w:sdtPr>
    <w:sdtEndPr/>
    <w:sdtContent>
      <w:p w:rsidR="00FB56AA" w:rsidRDefault="00C66D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36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B56AA" w:rsidRDefault="00FB56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4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EF"/>
    <w:rsid w:val="00002591"/>
    <w:rsid w:val="00004D11"/>
    <w:rsid w:val="0000534F"/>
    <w:rsid w:val="00014AE3"/>
    <w:rsid w:val="000173A2"/>
    <w:rsid w:val="00023FA0"/>
    <w:rsid w:val="00024EB9"/>
    <w:rsid w:val="000255A5"/>
    <w:rsid w:val="000339C2"/>
    <w:rsid w:val="0003403B"/>
    <w:rsid w:val="00034BBD"/>
    <w:rsid w:val="00037E92"/>
    <w:rsid w:val="000451BE"/>
    <w:rsid w:val="000533E0"/>
    <w:rsid w:val="000533FC"/>
    <w:rsid w:val="0005462D"/>
    <w:rsid w:val="00061709"/>
    <w:rsid w:val="0006353F"/>
    <w:rsid w:val="00066653"/>
    <w:rsid w:val="00070273"/>
    <w:rsid w:val="00070A6E"/>
    <w:rsid w:val="00073278"/>
    <w:rsid w:val="000743E8"/>
    <w:rsid w:val="00093245"/>
    <w:rsid w:val="00094424"/>
    <w:rsid w:val="0009570A"/>
    <w:rsid w:val="000964F7"/>
    <w:rsid w:val="000A20AE"/>
    <w:rsid w:val="000A216D"/>
    <w:rsid w:val="000B2FFA"/>
    <w:rsid w:val="000B30BC"/>
    <w:rsid w:val="000B4075"/>
    <w:rsid w:val="000B40CB"/>
    <w:rsid w:val="000B56B7"/>
    <w:rsid w:val="000C036A"/>
    <w:rsid w:val="000C14F6"/>
    <w:rsid w:val="000C2850"/>
    <w:rsid w:val="000C40F4"/>
    <w:rsid w:val="000D2086"/>
    <w:rsid w:val="000D2C18"/>
    <w:rsid w:val="000D5150"/>
    <w:rsid w:val="000D6211"/>
    <w:rsid w:val="000E63E7"/>
    <w:rsid w:val="000E733A"/>
    <w:rsid w:val="000E7B39"/>
    <w:rsid w:val="000F0E7E"/>
    <w:rsid w:val="000F1691"/>
    <w:rsid w:val="000F1D2D"/>
    <w:rsid w:val="000F1EB0"/>
    <w:rsid w:val="000F23A1"/>
    <w:rsid w:val="000F3595"/>
    <w:rsid w:val="00101A4C"/>
    <w:rsid w:val="00103812"/>
    <w:rsid w:val="0011049A"/>
    <w:rsid w:val="001110D0"/>
    <w:rsid w:val="00111904"/>
    <w:rsid w:val="00113D14"/>
    <w:rsid w:val="00120D54"/>
    <w:rsid w:val="00123728"/>
    <w:rsid w:val="001251B9"/>
    <w:rsid w:val="00125369"/>
    <w:rsid w:val="00127406"/>
    <w:rsid w:val="00127F8C"/>
    <w:rsid w:val="0013107D"/>
    <w:rsid w:val="00132EBA"/>
    <w:rsid w:val="00135076"/>
    <w:rsid w:val="00135AEB"/>
    <w:rsid w:val="00137537"/>
    <w:rsid w:val="00137764"/>
    <w:rsid w:val="001401FB"/>
    <w:rsid w:val="001434AA"/>
    <w:rsid w:val="00155B0B"/>
    <w:rsid w:val="0015631D"/>
    <w:rsid w:val="001566ED"/>
    <w:rsid w:val="00174C91"/>
    <w:rsid w:val="00175C5C"/>
    <w:rsid w:val="00176224"/>
    <w:rsid w:val="001772C8"/>
    <w:rsid w:val="00182063"/>
    <w:rsid w:val="0018226A"/>
    <w:rsid w:val="001864B2"/>
    <w:rsid w:val="00187110"/>
    <w:rsid w:val="00190C3E"/>
    <w:rsid w:val="001914FB"/>
    <w:rsid w:val="00191C2F"/>
    <w:rsid w:val="00191F19"/>
    <w:rsid w:val="00194388"/>
    <w:rsid w:val="00195BD5"/>
    <w:rsid w:val="00197692"/>
    <w:rsid w:val="001A4C7A"/>
    <w:rsid w:val="001A5CB0"/>
    <w:rsid w:val="001A7DBD"/>
    <w:rsid w:val="001B1789"/>
    <w:rsid w:val="001C177A"/>
    <w:rsid w:val="001C57CA"/>
    <w:rsid w:val="001D3E2C"/>
    <w:rsid w:val="001D52B8"/>
    <w:rsid w:val="001D6D7D"/>
    <w:rsid w:val="001D799B"/>
    <w:rsid w:val="001E08C5"/>
    <w:rsid w:val="001E1AA3"/>
    <w:rsid w:val="001F091E"/>
    <w:rsid w:val="001F511D"/>
    <w:rsid w:val="00200D2E"/>
    <w:rsid w:val="002030E9"/>
    <w:rsid w:val="0020687E"/>
    <w:rsid w:val="00214276"/>
    <w:rsid w:val="00220E2E"/>
    <w:rsid w:val="0022132B"/>
    <w:rsid w:val="002216EC"/>
    <w:rsid w:val="00221F8C"/>
    <w:rsid w:val="00224AAD"/>
    <w:rsid w:val="002264B4"/>
    <w:rsid w:val="002266E7"/>
    <w:rsid w:val="00231BC7"/>
    <w:rsid w:val="00232F83"/>
    <w:rsid w:val="00235CF1"/>
    <w:rsid w:val="00244C9B"/>
    <w:rsid w:val="002453FE"/>
    <w:rsid w:val="002469C4"/>
    <w:rsid w:val="00267463"/>
    <w:rsid w:val="00267D86"/>
    <w:rsid w:val="00267E49"/>
    <w:rsid w:val="002700B8"/>
    <w:rsid w:val="0027029B"/>
    <w:rsid w:val="002754F7"/>
    <w:rsid w:val="00277E1F"/>
    <w:rsid w:val="00280800"/>
    <w:rsid w:val="0028157D"/>
    <w:rsid w:val="00284E28"/>
    <w:rsid w:val="00285ADD"/>
    <w:rsid w:val="00292C46"/>
    <w:rsid w:val="002938E6"/>
    <w:rsid w:val="00295779"/>
    <w:rsid w:val="002A0819"/>
    <w:rsid w:val="002A165A"/>
    <w:rsid w:val="002A37AF"/>
    <w:rsid w:val="002A48EF"/>
    <w:rsid w:val="002B55A8"/>
    <w:rsid w:val="002B62B6"/>
    <w:rsid w:val="002C25D2"/>
    <w:rsid w:val="002D4288"/>
    <w:rsid w:val="002D7457"/>
    <w:rsid w:val="002E1913"/>
    <w:rsid w:val="002E1FAE"/>
    <w:rsid w:val="002E60DC"/>
    <w:rsid w:val="002F3932"/>
    <w:rsid w:val="00307FFC"/>
    <w:rsid w:val="00310A48"/>
    <w:rsid w:val="00322097"/>
    <w:rsid w:val="003272AE"/>
    <w:rsid w:val="00334045"/>
    <w:rsid w:val="00342CC8"/>
    <w:rsid w:val="00346273"/>
    <w:rsid w:val="00350B51"/>
    <w:rsid w:val="0035251A"/>
    <w:rsid w:val="00357154"/>
    <w:rsid w:val="00365C7A"/>
    <w:rsid w:val="00371210"/>
    <w:rsid w:val="0037123F"/>
    <w:rsid w:val="00371AD1"/>
    <w:rsid w:val="00376383"/>
    <w:rsid w:val="0038127D"/>
    <w:rsid w:val="00381E7E"/>
    <w:rsid w:val="00385377"/>
    <w:rsid w:val="003900A0"/>
    <w:rsid w:val="003917A8"/>
    <w:rsid w:val="00393967"/>
    <w:rsid w:val="00395345"/>
    <w:rsid w:val="0039786C"/>
    <w:rsid w:val="003B00DC"/>
    <w:rsid w:val="003B00EF"/>
    <w:rsid w:val="003B20E0"/>
    <w:rsid w:val="003B250A"/>
    <w:rsid w:val="003B45B3"/>
    <w:rsid w:val="003B599E"/>
    <w:rsid w:val="003C65A3"/>
    <w:rsid w:val="003D02AB"/>
    <w:rsid w:val="003D0A70"/>
    <w:rsid w:val="003D283A"/>
    <w:rsid w:val="003D5E8E"/>
    <w:rsid w:val="003E0506"/>
    <w:rsid w:val="003E4E28"/>
    <w:rsid w:val="003F1618"/>
    <w:rsid w:val="003F1BD1"/>
    <w:rsid w:val="003F7312"/>
    <w:rsid w:val="004014A9"/>
    <w:rsid w:val="0040352D"/>
    <w:rsid w:val="004128EF"/>
    <w:rsid w:val="0041371B"/>
    <w:rsid w:val="004156E3"/>
    <w:rsid w:val="00415E5C"/>
    <w:rsid w:val="00417EB0"/>
    <w:rsid w:val="00422A76"/>
    <w:rsid w:val="00426AD7"/>
    <w:rsid w:val="004303E9"/>
    <w:rsid w:val="00432D7A"/>
    <w:rsid w:val="00433630"/>
    <w:rsid w:val="004368F3"/>
    <w:rsid w:val="00441747"/>
    <w:rsid w:val="0044438B"/>
    <w:rsid w:val="00445962"/>
    <w:rsid w:val="0044611B"/>
    <w:rsid w:val="0044673F"/>
    <w:rsid w:val="0045646F"/>
    <w:rsid w:val="00456793"/>
    <w:rsid w:val="004638F2"/>
    <w:rsid w:val="00470CBC"/>
    <w:rsid w:val="00470D55"/>
    <w:rsid w:val="00471EAF"/>
    <w:rsid w:val="00472119"/>
    <w:rsid w:val="00473180"/>
    <w:rsid w:val="00474D3A"/>
    <w:rsid w:val="0047785A"/>
    <w:rsid w:val="004778A9"/>
    <w:rsid w:val="0048360A"/>
    <w:rsid w:val="00485876"/>
    <w:rsid w:val="00485CC1"/>
    <w:rsid w:val="00486DBA"/>
    <w:rsid w:val="00491693"/>
    <w:rsid w:val="004951C0"/>
    <w:rsid w:val="004A131F"/>
    <w:rsid w:val="004A1325"/>
    <w:rsid w:val="004A3156"/>
    <w:rsid w:val="004A648A"/>
    <w:rsid w:val="004B2741"/>
    <w:rsid w:val="004B40F1"/>
    <w:rsid w:val="004B518C"/>
    <w:rsid w:val="004B764F"/>
    <w:rsid w:val="004C1444"/>
    <w:rsid w:val="004C3F2C"/>
    <w:rsid w:val="004C5CA0"/>
    <w:rsid w:val="004D03D3"/>
    <w:rsid w:val="004D5D0E"/>
    <w:rsid w:val="004D5F92"/>
    <w:rsid w:val="004E6D21"/>
    <w:rsid w:val="004E7477"/>
    <w:rsid w:val="004F0198"/>
    <w:rsid w:val="004F541B"/>
    <w:rsid w:val="004F781B"/>
    <w:rsid w:val="00500FCD"/>
    <w:rsid w:val="00501B04"/>
    <w:rsid w:val="005112DD"/>
    <w:rsid w:val="005118FA"/>
    <w:rsid w:val="00512E54"/>
    <w:rsid w:val="005141D2"/>
    <w:rsid w:val="00520E2F"/>
    <w:rsid w:val="00521872"/>
    <w:rsid w:val="00521E69"/>
    <w:rsid w:val="00524056"/>
    <w:rsid w:val="00527A4C"/>
    <w:rsid w:val="00530214"/>
    <w:rsid w:val="0053115A"/>
    <w:rsid w:val="005355A0"/>
    <w:rsid w:val="00552242"/>
    <w:rsid w:val="00553E68"/>
    <w:rsid w:val="005561BC"/>
    <w:rsid w:val="00556545"/>
    <w:rsid w:val="00556D59"/>
    <w:rsid w:val="005570C0"/>
    <w:rsid w:val="00561395"/>
    <w:rsid w:val="005619D6"/>
    <w:rsid w:val="00566506"/>
    <w:rsid w:val="00571A41"/>
    <w:rsid w:val="00572079"/>
    <w:rsid w:val="0057217F"/>
    <w:rsid w:val="00573203"/>
    <w:rsid w:val="005762ED"/>
    <w:rsid w:val="00576D24"/>
    <w:rsid w:val="00577931"/>
    <w:rsid w:val="00581A7D"/>
    <w:rsid w:val="005820D7"/>
    <w:rsid w:val="00583759"/>
    <w:rsid w:val="005954E2"/>
    <w:rsid w:val="00597901"/>
    <w:rsid w:val="005A019C"/>
    <w:rsid w:val="005A0478"/>
    <w:rsid w:val="005A2C93"/>
    <w:rsid w:val="005A4872"/>
    <w:rsid w:val="005B1A3D"/>
    <w:rsid w:val="005B1AB2"/>
    <w:rsid w:val="005B24D5"/>
    <w:rsid w:val="005B34F3"/>
    <w:rsid w:val="005B675E"/>
    <w:rsid w:val="005C1267"/>
    <w:rsid w:val="005D5216"/>
    <w:rsid w:val="005E6B97"/>
    <w:rsid w:val="005F3522"/>
    <w:rsid w:val="005F3A27"/>
    <w:rsid w:val="005F7785"/>
    <w:rsid w:val="00604EAA"/>
    <w:rsid w:val="006057D9"/>
    <w:rsid w:val="00607AD7"/>
    <w:rsid w:val="00614FB1"/>
    <w:rsid w:val="0061677D"/>
    <w:rsid w:val="006169B7"/>
    <w:rsid w:val="00620615"/>
    <w:rsid w:val="00620B7E"/>
    <w:rsid w:val="00620D4D"/>
    <w:rsid w:val="006275B3"/>
    <w:rsid w:val="006304FF"/>
    <w:rsid w:val="0063123D"/>
    <w:rsid w:val="00632122"/>
    <w:rsid w:val="00633A70"/>
    <w:rsid w:val="00634252"/>
    <w:rsid w:val="00634A29"/>
    <w:rsid w:val="0063743E"/>
    <w:rsid w:val="00640992"/>
    <w:rsid w:val="006429BC"/>
    <w:rsid w:val="00645986"/>
    <w:rsid w:val="00646529"/>
    <w:rsid w:val="006539AB"/>
    <w:rsid w:val="00653C89"/>
    <w:rsid w:val="0065785A"/>
    <w:rsid w:val="00667DAB"/>
    <w:rsid w:val="00670DFA"/>
    <w:rsid w:val="00671A47"/>
    <w:rsid w:val="006759C8"/>
    <w:rsid w:val="006827AB"/>
    <w:rsid w:val="00682F2C"/>
    <w:rsid w:val="0068500E"/>
    <w:rsid w:val="006865F4"/>
    <w:rsid w:val="00692A06"/>
    <w:rsid w:val="00695B0D"/>
    <w:rsid w:val="006A1EE4"/>
    <w:rsid w:val="006A44DA"/>
    <w:rsid w:val="006A6618"/>
    <w:rsid w:val="006B0657"/>
    <w:rsid w:val="006B277E"/>
    <w:rsid w:val="006B300A"/>
    <w:rsid w:val="006B36AE"/>
    <w:rsid w:val="006B5BBF"/>
    <w:rsid w:val="006C23F6"/>
    <w:rsid w:val="006C2A9B"/>
    <w:rsid w:val="006D1147"/>
    <w:rsid w:val="006D67D4"/>
    <w:rsid w:val="006D6A8D"/>
    <w:rsid w:val="006E301F"/>
    <w:rsid w:val="006E5C39"/>
    <w:rsid w:val="006F3753"/>
    <w:rsid w:val="006F3948"/>
    <w:rsid w:val="006F3FBC"/>
    <w:rsid w:val="006F7879"/>
    <w:rsid w:val="00703C67"/>
    <w:rsid w:val="00710E0E"/>
    <w:rsid w:val="007125C7"/>
    <w:rsid w:val="0071269D"/>
    <w:rsid w:val="00712BFE"/>
    <w:rsid w:val="00716DC0"/>
    <w:rsid w:val="0072205B"/>
    <w:rsid w:val="00722353"/>
    <w:rsid w:val="00722A69"/>
    <w:rsid w:val="00723361"/>
    <w:rsid w:val="0073120A"/>
    <w:rsid w:val="00735401"/>
    <w:rsid w:val="00737F21"/>
    <w:rsid w:val="00743326"/>
    <w:rsid w:val="0074605C"/>
    <w:rsid w:val="007518D0"/>
    <w:rsid w:val="00760F26"/>
    <w:rsid w:val="00765C18"/>
    <w:rsid w:val="00766EC5"/>
    <w:rsid w:val="00770A7B"/>
    <w:rsid w:val="00771608"/>
    <w:rsid w:val="0077412F"/>
    <w:rsid w:val="00783ED9"/>
    <w:rsid w:val="00784A91"/>
    <w:rsid w:val="007939C9"/>
    <w:rsid w:val="00795957"/>
    <w:rsid w:val="0079781B"/>
    <w:rsid w:val="007A53D7"/>
    <w:rsid w:val="007A556F"/>
    <w:rsid w:val="007B0792"/>
    <w:rsid w:val="007B2DA3"/>
    <w:rsid w:val="007B58CF"/>
    <w:rsid w:val="007B5F9C"/>
    <w:rsid w:val="007B6DDA"/>
    <w:rsid w:val="007C2668"/>
    <w:rsid w:val="007C7CBF"/>
    <w:rsid w:val="007D11E9"/>
    <w:rsid w:val="007D2110"/>
    <w:rsid w:val="007D640D"/>
    <w:rsid w:val="007D6D1D"/>
    <w:rsid w:val="007E04BC"/>
    <w:rsid w:val="007F2E54"/>
    <w:rsid w:val="007F30B0"/>
    <w:rsid w:val="007F474A"/>
    <w:rsid w:val="00800E14"/>
    <w:rsid w:val="00805055"/>
    <w:rsid w:val="00815E03"/>
    <w:rsid w:val="00822AB5"/>
    <w:rsid w:val="00824478"/>
    <w:rsid w:val="00826F81"/>
    <w:rsid w:val="00831261"/>
    <w:rsid w:val="008349D8"/>
    <w:rsid w:val="008369F1"/>
    <w:rsid w:val="008378DD"/>
    <w:rsid w:val="008436EC"/>
    <w:rsid w:val="00844706"/>
    <w:rsid w:val="008456B2"/>
    <w:rsid w:val="008523B2"/>
    <w:rsid w:val="00853291"/>
    <w:rsid w:val="008553C2"/>
    <w:rsid w:val="00864B39"/>
    <w:rsid w:val="0086711D"/>
    <w:rsid w:val="008707BD"/>
    <w:rsid w:val="00872311"/>
    <w:rsid w:val="00876898"/>
    <w:rsid w:val="008805BF"/>
    <w:rsid w:val="008816F2"/>
    <w:rsid w:val="008823CB"/>
    <w:rsid w:val="00885CD1"/>
    <w:rsid w:val="008934F1"/>
    <w:rsid w:val="008942E4"/>
    <w:rsid w:val="008949D5"/>
    <w:rsid w:val="008961A6"/>
    <w:rsid w:val="008972EF"/>
    <w:rsid w:val="008A136F"/>
    <w:rsid w:val="008A1A7D"/>
    <w:rsid w:val="008A745D"/>
    <w:rsid w:val="008B03EA"/>
    <w:rsid w:val="008B3CFB"/>
    <w:rsid w:val="008B574F"/>
    <w:rsid w:val="008B607B"/>
    <w:rsid w:val="008B6D69"/>
    <w:rsid w:val="008B6E14"/>
    <w:rsid w:val="008B7D57"/>
    <w:rsid w:val="008E3BEB"/>
    <w:rsid w:val="008E5B79"/>
    <w:rsid w:val="008E5F75"/>
    <w:rsid w:val="008F5604"/>
    <w:rsid w:val="008F68DE"/>
    <w:rsid w:val="008F7118"/>
    <w:rsid w:val="00911564"/>
    <w:rsid w:val="00912723"/>
    <w:rsid w:val="00927130"/>
    <w:rsid w:val="00927399"/>
    <w:rsid w:val="00927BD8"/>
    <w:rsid w:val="00927C3D"/>
    <w:rsid w:val="0093654C"/>
    <w:rsid w:val="00941C5B"/>
    <w:rsid w:val="0094255D"/>
    <w:rsid w:val="00942F52"/>
    <w:rsid w:val="009444DC"/>
    <w:rsid w:val="00953F29"/>
    <w:rsid w:val="00954F02"/>
    <w:rsid w:val="00961928"/>
    <w:rsid w:val="00961BAC"/>
    <w:rsid w:val="00972F4C"/>
    <w:rsid w:val="00981AC3"/>
    <w:rsid w:val="009823AD"/>
    <w:rsid w:val="00987007"/>
    <w:rsid w:val="00991878"/>
    <w:rsid w:val="00991EC8"/>
    <w:rsid w:val="009A0B18"/>
    <w:rsid w:val="009A1034"/>
    <w:rsid w:val="009A4871"/>
    <w:rsid w:val="009B5AEB"/>
    <w:rsid w:val="009C089E"/>
    <w:rsid w:val="009C2D95"/>
    <w:rsid w:val="009C4A3C"/>
    <w:rsid w:val="009C4B5C"/>
    <w:rsid w:val="009C4BCC"/>
    <w:rsid w:val="009C50F2"/>
    <w:rsid w:val="009C69F9"/>
    <w:rsid w:val="009D0C6A"/>
    <w:rsid w:val="009D63D9"/>
    <w:rsid w:val="009E2227"/>
    <w:rsid w:val="009E7021"/>
    <w:rsid w:val="009E70E6"/>
    <w:rsid w:val="009F6667"/>
    <w:rsid w:val="00A03E6E"/>
    <w:rsid w:val="00A14894"/>
    <w:rsid w:val="00A1723F"/>
    <w:rsid w:val="00A22A9D"/>
    <w:rsid w:val="00A30B6E"/>
    <w:rsid w:val="00A42F40"/>
    <w:rsid w:val="00A45E03"/>
    <w:rsid w:val="00A51C99"/>
    <w:rsid w:val="00A53DD5"/>
    <w:rsid w:val="00A55A4C"/>
    <w:rsid w:val="00A5671E"/>
    <w:rsid w:val="00A65998"/>
    <w:rsid w:val="00A659D7"/>
    <w:rsid w:val="00A65BEF"/>
    <w:rsid w:val="00A72742"/>
    <w:rsid w:val="00A73C3A"/>
    <w:rsid w:val="00A74082"/>
    <w:rsid w:val="00A773ED"/>
    <w:rsid w:val="00A77ED3"/>
    <w:rsid w:val="00A83619"/>
    <w:rsid w:val="00A922D3"/>
    <w:rsid w:val="00A936F7"/>
    <w:rsid w:val="00A9427D"/>
    <w:rsid w:val="00A9649D"/>
    <w:rsid w:val="00AA6243"/>
    <w:rsid w:val="00AB2C46"/>
    <w:rsid w:val="00AB4942"/>
    <w:rsid w:val="00AC15D9"/>
    <w:rsid w:val="00AC2E5F"/>
    <w:rsid w:val="00AC33B0"/>
    <w:rsid w:val="00AC3C61"/>
    <w:rsid w:val="00AC796B"/>
    <w:rsid w:val="00AD3C51"/>
    <w:rsid w:val="00AD515D"/>
    <w:rsid w:val="00AD74C6"/>
    <w:rsid w:val="00AE12A6"/>
    <w:rsid w:val="00AF22F7"/>
    <w:rsid w:val="00AF2319"/>
    <w:rsid w:val="00AF5BE1"/>
    <w:rsid w:val="00B0128A"/>
    <w:rsid w:val="00B0271C"/>
    <w:rsid w:val="00B04508"/>
    <w:rsid w:val="00B11CED"/>
    <w:rsid w:val="00B17ABC"/>
    <w:rsid w:val="00B20DCC"/>
    <w:rsid w:val="00B24910"/>
    <w:rsid w:val="00B33014"/>
    <w:rsid w:val="00B35BD3"/>
    <w:rsid w:val="00B46074"/>
    <w:rsid w:val="00B464E7"/>
    <w:rsid w:val="00B6090F"/>
    <w:rsid w:val="00B6586F"/>
    <w:rsid w:val="00B66E3E"/>
    <w:rsid w:val="00B7030D"/>
    <w:rsid w:val="00B75B36"/>
    <w:rsid w:val="00B75EF9"/>
    <w:rsid w:val="00B75FA2"/>
    <w:rsid w:val="00B768A6"/>
    <w:rsid w:val="00B7781A"/>
    <w:rsid w:val="00B82D6C"/>
    <w:rsid w:val="00B915EE"/>
    <w:rsid w:val="00B919F1"/>
    <w:rsid w:val="00B9328E"/>
    <w:rsid w:val="00B96704"/>
    <w:rsid w:val="00BA1443"/>
    <w:rsid w:val="00BA5E38"/>
    <w:rsid w:val="00BA6233"/>
    <w:rsid w:val="00BA68F5"/>
    <w:rsid w:val="00BB4D93"/>
    <w:rsid w:val="00BC287D"/>
    <w:rsid w:val="00BC4CCE"/>
    <w:rsid w:val="00BC6282"/>
    <w:rsid w:val="00BD1764"/>
    <w:rsid w:val="00BD29DE"/>
    <w:rsid w:val="00BE1194"/>
    <w:rsid w:val="00BE2AC0"/>
    <w:rsid w:val="00BE5A3D"/>
    <w:rsid w:val="00BE5E96"/>
    <w:rsid w:val="00BF0673"/>
    <w:rsid w:val="00BF5487"/>
    <w:rsid w:val="00BF707D"/>
    <w:rsid w:val="00BF7879"/>
    <w:rsid w:val="00C02AF5"/>
    <w:rsid w:val="00C05D47"/>
    <w:rsid w:val="00C07C6F"/>
    <w:rsid w:val="00C104EB"/>
    <w:rsid w:val="00C10919"/>
    <w:rsid w:val="00C11985"/>
    <w:rsid w:val="00C13389"/>
    <w:rsid w:val="00C16E79"/>
    <w:rsid w:val="00C208F8"/>
    <w:rsid w:val="00C24150"/>
    <w:rsid w:val="00C24997"/>
    <w:rsid w:val="00C26591"/>
    <w:rsid w:val="00C31918"/>
    <w:rsid w:val="00C3546D"/>
    <w:rsid w:val="00C359D6"/>
    <w:rsid w:val="00C36237"/>
    <w:rsid w:val="00C37163"/>
    <w:rsid w:val="00C42C30"/>
    <w:rsid w:val="00C463E0"/>
    <w:rsid w:val="00C47AF8"/>
    <w:rsid w:val="00C627C1"/>
    <w:rsid w:val="00C6319A"/>
    <w:rsid w:val="00C635F5"/>
    <w:rsid w:val="00C66B9F"/>
    <w:rsid w:val="00C66D5C"/>
    <w:rsid w:val="00C67E15"/>
    <w:rsid w:val="00C7558A"/>
    <w:rsid w:val="00C844E4"/>
    <w:rsid w:val="00C84915"/>
    <w:rsid w:val="00C91540"/>
    <w:rsid w:val="00C938C4"/>
    <w:rsid w:val="00CA24A8"/>
    <w:rsid w:val="00CA341B"/>
    <w:rsid w:val="00CA75F3"/>
    <w:rsid w:val="00CB16BF"/>
    <w:rsid w:val="00CB1EC6"/>
    <w:rsid w:val="00CB73E5"/>
    <w:rsid w:val="00CC0F22"/>
    <w:rsid w:val="00CC4FF7"/>
    <w:rsid w:val="00CC68A2"/>
    <w:rsid w:val="00CC6E7B"/>
    <w:rsid w:val="00CD0B9F"/>
    <w:rsid w:val="00CD0C10"/>
    <w:rsid w:val="00CD415E"/>
    <w:rsid w:val="00CD671B"/>
    <w:rsid w:val="00CD6F50"/>
    <w:rsid w:val="00CE135D"/>
    <w:rsid w:val="00CE1D1A"/>
    <w:rsid w:val="00CE4D74"/>
    <w:rsid w:val="00CE55C5"/>
    <w:rsid w:val="00CF4881"/>
    <w:rsid w:val="00D00CAC"/>
    <w:rsid w:val="00D01507"/>
    <w:rsid w:val="00D11E05"/>
    <w:rsid w:val="00D13F59"/>
    <w:rsid w:val="00D23D45"/>
    <w:rsid w:val="00D27674"/>
    <w:rsid w:val="00D3021B"/>
    <w:rsid w:val="00D34006"/>
    <w:rsid w:val="00D4183F"/>
    <w:rsid w:val="00D5183B"/>
    <w:rsid w:val="00D519A1"/>
    <w:rsid w:val="00D560F2"/>
    <w:rsid w:val="00D6586D"/>
    <w:rsid w:val="00D6730D"/>
    <w:rsid w:val="00D74691"/>
    <w:rsid w:val="00D84072"/>
    <w:rsid w:val="00D96D6D"/>
    <w:rsid w:val="00DA2BA1"/>
    <w:rsid w:val="00DA31C5"/>
    <w:rsid w:val="00DB0AB6"/>
    <w:rsid w:val="00DB14E8"/>
    <w:rsid w:val="00DB3BF5"/>
    <w:rsid w:val="00DC04BE"/>
    <w:rsid w:val="00DC0972"/>
    <w:rsid w:val="00DD0A43"/>
    <w:rsid w:val="00DD0D3A"/>
    <w:rsid w:val="00DE0823"/>
    <w:rsid w:val="00DE1541"/>
    <w:rsid w:val="00DE39A4"/>
    <w:rsid w:val="00DE5045"/>
    <w:rsid w:val="00DE517A"/>
    <w:rsid w:val="00DF0803"/>
    <w:rsid w:val="00DF1959"/>
    <w:rsid w:val="00DF64A3"/>
    <w:rsid w:val="00E0190F"/>
    <w:rsid w:val="00E06999"/>
    <w:rsid w:val="00E13EA4"/>
    <w:rsid w:val="00E1406A"/>
    <w:rsid w:val="00E17BBA"/>
    <w:rsid w:val="00E315B4"/>
    <w:rsid w:val="00E32E9B"/>
    <w:rsid w:val="00E35983"/>
    <w:rsid w:val="00E37162"/>
    <w:rsid w:val="00E41C80"/>
    <w:rsid w:val="00E42AD1"/>
    <w:rsid w:val="00E459D7"/>
    <w:rsid w:val="00E46093"/>
    <w:rsid w:val="00E46BAC"/>
    <w:rsid w:val="00E5398B"/>
    <w:rsid w:val="00E5545F"/>
    <w:rsid w:val="00E62A02"/>
    <w:rsid w:val="00E638CD"/>
    <w:rsid w:val="00E66B95"/>
    <w:rsid w:val="00E66F3D"/>
    <w:rsid w:val="00E72DFF"/>
    <w:rsid w:val="00E735EF"/>
    <w:rsid w:val="00E75069"/>
    <w:rsid w:val="00E868C0"/>
    <w:rsid w:val="00EB1622"/>
    <w:rsid w:val="00EB301A"/>
    <w:rsid w:val="00EB39AA"/>
    <w:rsid w:val="00EC39A8"/>
    <w:rsid w:val="00EC7942"/>
    <w:rsid w:val="00ED1295"/>
    <w:rsid w:val="00ED1DF7"/>
    <w:rsid w:val="00ED1E97"/>
    <w:rsid w:val="00ED222E"/>
    <w:rsid w:val="00ED29EC"/>
    <w:rsid w:val="00EE283C"/>
    <w:rsid w:val="00EE32A5"/>
    <w:rsid w:val="00EE3C2C"/>
    <w:rsid w:val="00EE3F5C"/>
    <w:rsid w:val="00EE5828"/>
    <w:rsid w:val="00EE5CA3"/>
    <w:rsid w:val="00EF5C7E"/>
    <w:rsid w:val="00EF7BD2"/>
    <w:rsid w:val="00EF7CC3"/>
    <w:rsid w:val="00F02E71"/>
    <w:rsid w:val="00F04FE3"/>
    <w:rsid w:val="00F06E48"/>
    <w:rsid w:val="00F106E3"/>
    <w:rsid w:val="00F16AA1"/>
    <w:rsid w:val="00F23157"/>
    <w:rsid w:val="00F3393C"/>
    <w:rsid w:val="00F33B08"/>
    <w:rsid w:val="00F3529A"/>
    <w:rsid w:val="00F3589C"/>
    <w:rsid w:val="00F4238A"/>
    <w:rsid w:val="00F46376"/>
    <w:rsid w:val="00F602C0"/>
    <w:rsid w:val="00F63092"/>
    <w:rsid w:val="00F72550"/>
    <w:rsid w:val="00F73364"/>
    <w:rsid w:val="00F77D4C"/>
    <w:rsid w:val="00F8682B"/>
    <w:rsid w:val="00F8692A"/>
    <w:rsid w:val="00F87176"/>
    <w:rsid w:val="00F87F20"/>
    <w:rsid w:val="00F90293"/>
    <w:rsid w:val="00F91E71"/>
    <w:rsid w:val="00F96AD9"/>
    <w:rsid w:val="00F97813"/>
    <w:rsid w:val="00FA28D2"/>
    <w:rsid w:val="00FA298D"/>
    <w:rsid w:val="00FA5C82"/>
    <w:rsid w:val="00FA79C9"/>
    <w:rsid w:val="00FB4381"/>
    <w:rsid w:val="00FB5668"/>
    <w:rsid w:val="00FB56AA"/>
    <w:rsid w:val="00FC046C"/>
    <w:rsid w:val="00FC4082"/>
    <w:rsid w:val="00FC44B2"/>
    <w:rsid w:val="00FC6F4A"/>
    <w:rsid w:val="00FC7C2A"/>
    <w:rsid w:val="00FD1937"/>
    <w:rsid w:val="00FE1BA9"/>
    <w:rsid w:val="00FE5648"/>
    <w:rsid w:val="00FF4881"/>
    <w:rsid w:val="00FF5E0E"/>
    <w:rsid w:val="00FF7008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C73B-7B9F-4839-9089-44F9D86E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Эберт Т.М.</cp:lastModifiedBy>
  <cp:revision>33</cp:revision>
  <cp:lastPrinted>2014-10-02T03:36:00Z</cp:lastPrinted>
  <dcterms:created xsi:type="dcterms:W3CDTF">2014-09-16T04:11:00Z</dcterms:created>
  <dcterms:modified xsi:type="dcterms:W3CDTF">2014-10-02T03:36:00Z</dcterms:modified>
</cp:coreProperties>
</file>